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5883" w14:textId="77777777" w:rsidR="00E55FFC" w:rsidRPr="007B06B8" w:rsidRDefault="00E55FFC" w:rsidP="00C33395">
      <w:pPr>
        <w:spacing w:after="0" w:line="240" w:lineRule="auto"/>
        <w:ind w:left="-90" w:right="-36"/>
        <w:jc w:val="center"/>
        <w:rPr>
          <w:rFonts w:ascii="Tahoma Bold" w:hAnsi="Tahoma Bold" w:cs="Tahoma"/>
          <w:b/>
          <w:smallCaps/>
          <w:sz w:val="36"/>
          <w:szCs w:val="36"/>
        </w:rPr>
      </w:pPr>
      <w:r>
        <w:rPr>
          <w:rFonts w:ascii="Tahoma Bold" w:hAnsi="Tahoma Bold" w:cs="Tahoma"/>
          <w:b/>
          <w:smallCaps/>
          <w:sz w:val="36"/>
          <w:szCs w:val="36"/>
        </w:rPr>
        <w:t>Mike Mohrmann</w:t>
      </w:r>
    </w:p>
    <w:p w14:paraId="05189E24" w14:textId="77777777" w:rsidR="00E55FFC" w:rsidRPr="007B06B8" w:rsidRDefault="00E55FFC" w:rsidP="00C33395">
      <w:pPr>
        <w:spacing w:before="60" w:after="0" w:line="240" w:lineRule="auto"/>
        <w:ind w:left="-90" w:right="-36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Houston</w:t>
      </w:r>
      <w:r w:rsidRPr="007B06B8">
        <w:rPr>
          <w:rFonts w:ascii="Tahoma" w:hAnsi="Tahoma" w:cs="Tahoma"/>
          <w:b/>
          <w:szCs w:val="20"/>
        </w:rPr>
        <w:t>, TX</w:t>
      </w:r>
    </w:p>
    <w:p w14:paraId="1C778AFF" w14:textId="79ECA3D1" w:rsidR="00E55FFC" w:rsidRPr="00E55FFC" w:rsidRDefault="00000000" w:rsidP="00C33395">
      <w:pPr>
        <w:pBdr>
          <w:bottom w:val="thickThinSmallGap" w:sz="18" w:space="1" w:color="auto"/>
        </w:pBdr>
        <w:spacing w:before="40" w:after="0" w:line="240" w:lineRule="auto"/>
        <w:ind w:left="-90" w:right="-36"/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  <w:hyperlink r:id="rId8" w:history="1">
        <w:r w:rsidR="00E55FFC" w:rsidRPr="00E55FFC">
          <w:rPr>
            <w:rStyle w:val="Hyperlink"/>
            <w:rFonts w:ascii="Segoe UI" w:hAnsi="Segoe UI" w:cs="Segoe UI"/>
            <w:color w:val="000000" w:themeColor="text1"/>
            <w:sz w:val="21"/>
            <w:szCs w:val="21"/>
            <w:shd w:val="clear" w:color="auto" w:fill="FFFFFF"/>
          </w:rPr>
          <w:t>www.linkedin.com/in/mike-mohrmann</w:t>
        </w:r>
      </w:hyperlink>
    </w:p>
    <w:p w14:paraId="311C09CA" w14:textId="77777777" w:rsidR="00E55FFC" w:rsidRPr="00BF5294" w:rsidRDefault="00000000" w:rsidP="00C33395">
      <w:pPr>
        <w:tabs>
          <w:tab w:val="right" w:pos="10170"/>
        </w:tabs>
        <w:spacing w:after="0" w:line="240" w:lineRule="auto"/>
        <w:ind w:left="-90" w:right="-36"/>
        <w:rPr>
          <w:rFonts w:ascii="Tahoma" w:hAnsi="Tahoma" w:cs="Tahoma"/>
          <w:b/>
          <w:sz w:val="21"/>
          <w:szCs w:val="21"/>
        </w:rPr>
      </w:pPr>
      <w:hyperlink r:id="rId9" w:history="1">
        <w:r w:rsidR="00E55FFC" w:rsidRPr="00E55FFC">
          <w:rPr>
            <w:rStyle w:val="Hyperlink"/>
            <w:color w:val="000000" w:themeColor="text1"/>
          </w:rPr>
          <w:t>mike@mymohrmann.com</w:t>
        </w:r>
      </w:hyperlink>
      <w:r w:rsidR="00E55FFC" w:rsidRPr="00BF5294">
        <w:rPr>
          <w:rStyle w:val="Hyperlink"/>
          <w:rFonts w:ascii="Tahoma" w:hAnsi="Tahoma" w:cs="Tahoma"/>
          <w:b/>
          <w:sz w:val="21"/>
          <w:szCs w:val="21"/>
          <w:u w:val="none"/>
        </w:rPr>
        <w:tab/>
      </w:r>
      <w:r w:rsidR="00E55FFC">
        <w:rPr>
          <w:rFonts w:ascii="Tahoma" w:hAnsi="Tahoma" w:cs="Tahoma"/>
          <w:b/>
          <w:sz w:val="21"/>
          <w:szCs w:val="21"/>
        </w:rPr>
        <w:t>346-233-5092</w:t>
      </w:r>
    </w:p>
    <w:p w14:paraId="1BB06A38" w14:textId="77777777" w:rsidR="00E55FFC" w:rsidRPr="007B06B8" w:rsidRDefault="00E55FFC" w:rsidP="00E55FFC">
      <w:pPr>
        <w:tabs>
          <w:tab w:val="right" w:pos="9360"/>
        </w:tabs>
        <w:spacing w:after="0" w:line="240" w:lineRule="auto"/>
        <w:ind w:left="-540" w:right="-540"/>
        <w:rPr>
          <w:rFonts w:ascii="Tahoma" w:hAnsi="Tahoma" w:cs="Tahoma"/>
          <w:szCs w:val="21"/>
        </w:rPr>
      </w:pPr>
    </w:p>
    <w:p w14:paraId="59E7A608" w14:textId="7FB701D4" w:rsidR="00E55FFC" w:rsidRPr="00BF5294" w:rsidRDefault="00752958" w:rsidP="00E55FFC">
      <w:pPr>
        <w:spacing w:after="0" w:line="240" w:lineRule="auto"/>
        <w:ind w:left="-540" w:right="-540"/>
        <w:jc w:val="center"/>
        <w:rPr>
          <w:rFonts w:ascii="Tahoma Bold" w:hAnsi="Tahoma Bold" w:cs="Tahoma"/>
          <w:b/>
          <w:smallCaps/>
          <w:color w:val="000000" w:themeColor="text1"/>
          <w:sz w:val="28"/>
          <w:szCs w:val="24"/>
        </w:rPr>
      </w:pPr>
      <w:r>
        <w:rPr>
          <w:rFonts w:ascii="Tahoma Bold" w:hAnsi="Tahoma Bold" w:cs="Tahoma"/>
          <w:b/>
          <w:smallCaps/>
          <w:color w:val="000000" w:themeColor="text1"/>
          <w:sz w:val="28"/>
          <w:szCs w:val="24"/>
        </w:rPr>
        <w:t xml:space="preserve">Senior </w:t>
      </w:r>
      <w:r w:rsidR="00960CAB">
        <w:rPr>
          <w:rFonts w:ascii="Tahoma Bold" w:hAnsi="Tahoma Bold" w:cs="Tahoma"/>
          <w:b/>
          <w:smallCaps/>
          <w:color w:val="000000" w:themeColor="text1"/>
          <w:sz w:val="28"/>
          <w:szCs w:val="24"/>
        </w:rPr>
        <w:t>Operations</w:t>
      </w:r>
      <w:r>
        <w:rPr>
          <w:rFonts w:ascii="Tahoma Bold" w:hAnsi="Tahoma Bold" w:cs="Tahoma"/>
          <w:b/>
          <w:smallCaps/>
          <w:color w:val="000000" w:themeColor="text1"/>
          <w:sz w:val="28"/>
          <w:szCs w:val="24"/>
        </w:rPr>
        <w:t xml:space="preserve"> Engineer</w:t>
      </w:r>
    </w:p>
    <w:p w14:paraId="26D969E2" w14:textId="5E454BA7" w:rsidR="00E55FFC" w:rsidRPr="00BF5294" w:rsidRDefault="00752958" w:rsidP="003666DC">
      <w:pPr>
        <w:spacing w:after="0" w:line="240" w:lineRule="auto"/>
        <w:ind w:left="540" w:right="774"/>
        <w:jc w:val="center"/>
        <w:rPr>
          <w:rFonts w:ascii="Tahoma" w:hAnsi="Tahoma" w:cs="Tahoma"/>
          <w:color w:val="000000" w:themeColor="text1"/>
          <w:sz w:val="24"/>
          <w:szCs w:val="21"/>
        </w:rPr>
      </w:pPr>
      <w:r>
        <w:rPr>
          <w:rFonts w:ascii="Tahoma" w:hAnsi="Tahoma" w:cs="Tahoma"/>
          <w:color w:val="000000" w:themeColor="text1"/>
          <w:sz w:val="24"/>
          <w:szCs w:val="21"/>
        </w:rPr>
        <w:t xml:space="preserve">Expert in </w:t>
      </w:r>
      <w:r w:rsidR="00AB60E1">
        <w:rPr>
          <w:rFonts w:ascii="Tahoma" w:hAnsi="Tahoma" w:cs="Tahoma"/>
          <w:color w:val="000000" w:themeColor="text1"/>
          <w:sz w:val="24"/>
          <w:szCs w:val="21"/>
        </w:rPr>
        <w:t>optimizing production efficiency, designing tailored completion strategies, and delivering substantial cost savings through meticulous project management.</w:t>
      </w:r>
    </w:p>
    <w:p w14:paraId="7DBFC8EE" w14:textId="77777777" w:rsidR="00E55FFC" w:rsidRDefault="00E55FFC" w:rsidP="00E55FFC">
      <w:pPr>
        <w:spacing w:after="0" w:line="240" w:lineRule="auto"/>
        <w:ind w:left="-540" w:right="-540"/>
        <w:rPr>
          <w:rFonts w:ascii="Tahoma" w:hAnsi="Tahoma" w:cs="Tahoma"/>
          <w:color w:val="000000" w:themeColor="text1"/>
          <w:szCs w:val="21"/>
        </w:rPr>
      </w:pPr>
    </w:p>
    <w:p w14:paraId="026929CB" w14:textId="77777777" w:rsidR="00531E3A" w:rsidRPr="00EF5920" w:rsidRDefault="00531E3A" w:rsidP="00C33395">
      <w:pPr>
        <w:spacing w:after="0" w:line="240" w:lineRule="auto"/>
        <w:ind w:left="-540" w:right="-126"/>
        <w:rPr>
          <w:rFonts w:ascii="Tahoma" w:hAnsi="Tahoma" w:cs="Tahoma"/>
          <w:color w:val="000000" w:themeColor="text1"/>
          <w:szCs w:val="21"/>
        </w:rPr>
      </w:pPr>
    </w:p>
    <w:p w14:paraId="1B431B4A" w14:textId="6F78283A" w:rsidR="00752958" w:rsidRDefault="003D3957" w:rsidP="005D1CAB">
      <w:pPr>
        <w:spacing w:after="0" w:line="240" w:lineRule="auto"/>
        <w:ind w:left="-14"/>
        <w:jc w:val="both"/>
        <w:rPr>
          <w:rFonts w:ascii="Tahoma" w:hAnsi="Tahoma" w:cs="Tahoma"/>
          <w:color w:val="000000" w:themeColor="text1"/>
          <w:szCs w:val="21"/>
        </w:rPr>
      </w:pPr>
      <w:r w:rsidRPr="003D3957">
        <w:rPr>
          <w:rFonts w:ascii="Tahoma" w:hAnsi="Tahoma" w:cs="Tahoma"/>
          <w:color w:val="000000" w:themeColor="text1"/>
          <w:szCs w:val="21"/>
        </w:rPr>
        <w:t xml:space="preserve">Highly skilled production engineer with a background in production, completions, and project management. </w:t>
      </w:r>
      <w:r w:rsidR="00B57DF4">
        <w:rPr>
          <w:rFonts w:ascii="Tahoma" w:hAnsi="Tahoma" w:cs="Tahoma"/>
          <w:color w:val="000000" w:themeColor="text1"/>
          <w:szCs w:val="21"/>
        </w:rPr>
        <w:t>Looking to utilize my technical expertise to move into the renewables industry.</w:t>
      </w:r>
      <w:r>
        <w:rPr>
          <w:rFonts w:ascii="Tahoma" w:hAnsi="Tahoma" w:cs="Tahoma"/>
          <w:color w:val="000000" w:themeColor="text1"/>
          <w:szCs w:val="21"/>
        </w:rPr>
        <w:t xml:space="preserve"> Strong business acumen with a proven track record of implementing sound financial decisions and solutions when faced with multiple problems.</w:t>
      </w:r>
    </w:p>
    <w:p w14:paraId="11D8D5EB" w14:textId="77777777" w:rsidR="00752958" w:rsidRPr="00D460D1" w:rsidRDefault="00752958" w:rsidP="005D1CAB">
      <w:pPr>
        <w:spacing w:after="0" w:line="240" w:lineRule="auto"/>
        <w:ind w:left="-14"/>
        <w:jc w:val="both"/>
        <w:rPr>
          <w:rFonts w:ascii="Tahoma" w:hAnsi="Tahoma" w:cs="Tahoma"/>
          <w:color w:val="000000" w:themeColor="text1"/>
          <w:szCs w:val="21"/>
          <w:lang w:val="en-GB"/>
        </w:rPr>
      </w:pPr>
    </w:p>
    <w:p w14:paraId="67DB0FB1" w14:textId="77777777" w:rsidR="00CA75A4" w:rsidRDefault="00ED2791" w:rsidP="00CA75A4">
      <w:pPr>
        <w:spacing w:after="0" w:line="240" w:lineRule="auto"/>
        <w:ind w:left="-14"/>
        <w:jc w:val="center"/>
        <w:rPr>
          <w:rFonts w:ascii="Tahoma" w:hAnsi="Tahoma" w:cs="Tahoma"/>
          <w:b/>
          <w:color w:val="000000" w:themeColor="text1"/>
          <w:sz w:val="24"/>
          <w:szCs w:val="21"/>
        </w:rPr>
      </w:pPr>
      <w:r w:rsidRPr="00D460D1">
        <w:rPr>
          <w:rFonts w:ascii="Tahoma" w:hAnsi="Tahoma" w:cs="Tahoma"/>
          <w:b/>
          <w:color w:val="000000" w:themeColor="text1"/>
          <w:sz w:val="24"/>
          <w:szCs w:val="21"/>
        </w:rPr>
        <w:t>Areas of Expertise</w:t>
      </w:r>
    </w:p>
    <w:p w14:paraId="044A8540" w14:textId="77777777" w:rsidR="00902E91" w:rsidRPr="00D460D1" w:rsidRDefault="00902E91" w:rsidP="00CA75A4">
      <w:pPr>
        <w:spacing w:after="0" w:line="240" w:lineRule="auto"/>
        <w:ind w:left="-14"/>
        <w:jc w:val="center"/>
        <w:rPr>
          <w:rFonts w:ascii="Tahoma" w:hAnsi="Tahoma" w:cs="Tahoma"/>
          <w:b/>
          <w:color w:val="000000" w:themeColor="text1"/>
          <w:sz w:val="24"/>
          <w:szCs w:val="21"/>
        </w:rPr>
      </w:pPr>
    </w:p>
    <w:tbl>
      <w:tblPr>
        <w:tblStyle w:val="TableGrid"/>
        <w:tblpPr w:leftFromText="180" w:rightFromText="180" w:vertAnchor="text" w:horzAnchor="page" w:tblpX="496" w:tblpY="156"/>
        <w:tblW w:w="10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550"/>
        <w:gridCol w:w="3144"/>
      </w:tblGrid>
      <w:tr w:rsidR="00752958" w:rsidRPr="00D460D1" w14:paraId="13194A6E" w14:textId="77777777" w:rsidTr="00752958">
        <w:trPr>
          <w:trHeight w:val="158"/>
        </w:trPr>
        <w:tc>
          <w:tcPr>
            <w:tcW w:w="4050" w:type="dxa"/>
          </w:tcPr>
          <w:p w14:paraId="68A35258" w14:textId="7D28178E" w:rsidR="00827890" w:rsidRPr="00D460D1" w:rsidRDefault="00752958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b/>
                <w:color w:val="000000" w:themeColor="text1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Engineering Design, Evaluation</w:t>
            </w:r>
          </w:p>
        </w:tc>
        <w:tc>
          <w:tcPr>
            <w:tcW w:w="3550" w:type="dxa"/>
          </w:tcPr>
          <w:p w14:paraId="5C9AE7AA" w14:textId="3CA7E15F" w:rsidR="00827890" w:rsidRPr="00D460D1" w:rsidRDefault="00537DDC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Planning and Forecasting</w:t>
            </w:r>
          </w:p>
        </w:tc>
        <w:tc>
          <w:tcPr>
            <w:tcW w:w="3144" w:type="dxa"/>
          </w:tcPr>
          <w:p w14:paraId="3DB63B9A" w14:textId="78EF3C7F" w:rsidR="00827890" w:rsidRPr="00D460D1" w:rsidRDefault="004F53B0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b/>
                <w:color w:val="000000" w:themeColor="text1"/>
                <w:szCs w:val="21"/>
              </w:rPr>
            </w:pPr>
            <w:r>
              <w:rPr>
                <w:rFonts w:ascii="Tahoma" w:hAnsi="Tahoma" w:cs="Tahoma"/>
                <w:color w:val="000000" w:themeColor="text1"/>
                <w:szCs w:val="21"/>
              </w:rPr>
              <w:t>Project Management</w:t>
            </w:r>
          </w:p>
        </w:tc>
      </w:tr>
      <w:tr w:rsidR="00752958" w:rsidRPr="00D460D1" w14:paraId="6A0FD064" w14:textId="77777777" w:rsidTr="00752958">
        <w:trPr>
          <w:trHeight w:val="164"/>
        </w:trPr>
        <w:tc>
          <w:tcPr>
            <w:tcW w:w="4050" w:type="dxa"/>
          </w:tcPr>
          <w:p w14:paraId="4C491C60" w14:textId="6F668EEB" w:rsidR="00827890" w:rsidRPr="0057474E" w:rsidRDefault="004F53B0" w:rsidP="004F53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200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Operational Efficiencies</w:t>
            </w:r>
          </w:p>
        </w:tc>
        <w:tc>
          <w:tcPr>
            <w:tcW w:w="3550" w:type="dxa"/>
          </w:tcPr>
          <w:p w14:paraId="2BD2747B" w14:textId="577C2190" w:rsidR="00827890" w:rsidRPr="00D460D1" w:rsidRDefault="003666DC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Troubleshooting</w:t>
            </w:r>
            <w:r w:rsidR="00827890" w:rsidRPr="00D460D1" w:rsidDel="00DD09A0">
              <w:rPr>
                <w:rFonts w:ascii="Tahoma" w:hAnsi="Tahoma" w:cs="Tahoma"/>
                <w:szCs w:val="21"/>
              </w:rPr>
              <w:t xml:space="preserve"> </w:t>
            </w:r>
          </w:p>
        </w:tc>
        <w:tc>
          <w:tcPr>
            <w:tcW w:w="3144" w:type="dxa"/>
          </w:tcPr>
          <w:p w14:paraId="43CB51D9" w14:textId="525E8B58" w:rsidR="00827890" w:rsidRPr="0057474E" w:rsidRDefault="00752958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Logistic</w:t>
            </w:r>
            <w:r w:rsidR="00E72429">
              <w:rPr>
                <w:rFonts w:ascii="Tahoma" w:hAnsi="Tahoma" w:cs="Tahoma"/>
                <w:szCs w:val="21"/>
              </w:rPr>
              <w:t>s</w:t>
            </w:r>
            <w:r>
              <w:rPr>
                <w:rFonts w:ascii="Tahoma" w:hAnsi="Tahoma" w:cs="Tahoma"/>
                <w:szCs w:val="21"/>
              </w:rPr>
              <w:t xml:space="preserve"> Optimization</w:t>
            </w:r>
          </w:p>
        </w:tc>
      </w:tr>
      <w:tr w:rsidR="00752958" w:rsidRPr="00D460D1" w14:paraId="13A04A7F" w14:textId="77777777" w:rsidTr="00752958">
        <w:trPr>
          <w:trHeight w:val="35"/>
        </w:trPr>
        <w:tc>
          <w:tcPr>
            <w:tcW w:w="4050" w:type="dxa"/>
          </w:tcPr>
          <w:p w14:paraId="7BBA6F01" w14:textId="4C60C747" w:rsidR="00827890" w:rsidRPr="0057474E" w:rsidRDefault="00537DDC" w:rsidP="0069409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290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Safe Operations</w:t>
            </w:r>
            <w:r w:rsidR="00827890" w:rsidRPr="0057474E" w:rsidDel="00BE7F39">
              <w:rPr>
                <w:rFonts w:ascii="Tahoma" w:hAnsi="Tahoma" w:cs="Tahoma"/>
                <w:szCs w:val="21"/>
              </w:rPr>
              <w:t xml:space="preserve"> </w:t>
            </w:r>
          </w:p>
        </w:tc>
        <w:tc>
          <w:tcPr>
            <w:tcW w:w="3550" w:type="dxa"/>
          </w:tcPr>
          <w:p w14:paraId="3A418208" w14:textId="2FF22833" w:rsidR="00827890" w:rsidRPr="00D460D1" w:rsidRDefault="00752958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Mentoring</w:t>
            </w:r>
            <w:r w:rsidR="00827890" w:rsidRPr="00D460D1" w:rsidDel="00BE7F39">
              <w:rPr>
                <w:rFonts w:ascii="Tahoma" w:hAnsi="Tahoma" w:cs="Tahoma"/>
                <w:szCs w:val="21"/>
              </w:rPr>
              <w:t xml:space="preserve"> </w:t>
            </w:r>
          </w:p>
        </w:tc>
        <w:tc>
          <w:tcPr>
            <w:tcW w:w="3144" w:type="dxa"/>
          </w:tcPr>
          <w:p w14:paraId="7E2652BB" w14:textId="5748E63E" w:rsidR="00827890" w:rsidRPr="00D460D1" w:rsidRDefault="00531E3A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b/>
                <w:color w:val="000000" w:themeColor="text1"/>
                <w:szCs w:val="21"/>
              </w:rPr>
            </w:pPr>
            <w:r>
              <w:rPr>
                <w:rFonts w:ascii="Tahoma" w:hAnsi="Tahoma" w:cs="Tahoma"/>
                <w:color w:val="000000" w:themeColor="text1"/>
                <w:szCs w:val="21"/>
              </w:rPr>
              <w:t>Nodal Analysis</w:t>
            </w:r>
          </w:p>
          <w:p w14:paraId="1F40CA5E" w14:textId="77777777" w:rsidR="00827890" w:rsidRPr="00D460D1" w:rsidRDefault="00827890" w:rsidP="00827890">
            <w:pPr>
              <w:spacing w:after="0" w:line="240" w:lineRule="auto"/>
              <w:ind w:left="144"/>
              <w:rPr>
                <w:rFonts w:ascii="Tahoma" w:hAnsi="Tahoma" w:cs="Tahoma"/>
                <w:b/>
                <w:color w:val="000000" w:themeColor="text1"/>
                <w:szCs w:val="21"/>
              </w:rPr>
            </w:pPr>
          </w:p>
        </w:tc>
      </w:tr>
    </w:tbl>
    <w:p w14:paraId="59F5D71C" w14:textId="77777777" w:rsidR="00102B69" w:rsidRPr="0057474E" w:rsidRDefault="00102B69" w:rsidP="00CA75A4">
      <w:pPr>
        <w:spacing w:after="0" w:line="240" w:lineRule="auto"/>
        <w:ind w:left="-14"/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</w:p>
    <w:p w14:paraId="3FE59BFD" w14:textId="72ECE6E0" w:rsidR="00FC4F1B" w:rsidRPr="00D460D1" w:rsidRDefault="00CA75A4" w:rsidP="00A7423E">
      <w:pP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24"/>
        </w:rPr>
      </w:pPr>
      <w:r w:rsidRPr="00D460D1">
        <w:rPr>
          <w:rFonts w:ascii="Tahoma" w:hAnsi="Tahoma" w:cs="Tahoma"/>
          <w:b/>
          <w:smallCaps/>
          <w:sz w:val="28"/>
          <w:szCs w:val="24"/>
        </w:rPr>
        <w:t>P</w:t>
      </w:r>
      <w:r w:rsidR="00FC4F1B" w:rsidRPr="00D460D1">
        <w:rPr>
          <w:rFonts w:ascii="Tahoma" w:hAnsi="Tahoma" w:cs="Tahoma"/>
          <w:b/>
          <w:smallCaps/>
          <w:sz w:val="28"/>
          <w:szCs w:val="24"/>
        </w:rPr>
        <w:t>rofessional Experience</w:t>
      </w:r>
    </w:p>
    <w:p w14:paraId="669E1405" w14:textId="77777777" w:rsidR="00A7423E" w:rsidRDefault="00A7423E" w:rsidP="00A7423E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7BA7C46E" w14:textId="77777777" w:rsidR="00902E91" w:rsidRPr="0057474E" w:rsidRDefault="00902E91" w:rsidP="00A7423E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5972FF39" w14:textId="487A98EE" w:rsidR="00CA75A4" w:rsidRPr="00D460D1" w:rsidRDefault="004F53B0" w:rsidP="00C33395">
      <w:pPr>
        <w:tabs>
          <w:tab w:val="right" w:pos="1017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caps/>
        </w:rPr>
        <w:t>Joy Drive Midland</w:t>
      </w:r>
      <w:r w:rsidR="00FC4F1B" w:rsidRPr="0057474E">
        <w:rPr>
          <w:rFonts w:ascii="Tahoma" w:hAnsi="Tahoma" w:cs="Tahoma"/>
        </w:rPr>
        <w:t xml:space="preserve">, </w:t>
      </w:r>
      <w:r w:rsidR="00E20636">
        <w:rPr>
          <w:rFonts w:ascii="Tahoma" w:hAnsi="Tahoma" w:cs="Tahoma"/>
        </w:rPr>
        <w:t xml:space="preserve">(Partner of Lario Oil and Gas) </w:t>
      </w:r>
      <w:r w:rsidR="00C86C09" w:rsidRPr="0057474E">
        <w:rPr>
          <w:rFonts w:ascii="Tahoma" w:hAnsi="Tahoma" w:cs="Tahoma"/>
        </w:rPr>
        <w:t>Houston</w:t>
      </w:r>
      <w:r w:rsidR="007B06B8" w:rsidRPr="0057474E">
        <w:rPr>
          <w:rFonts w:ascii="Tahoma" w:hAnsi="Tahoma" w:cs="Tahoma"/>
        </w:rPr>
        <w:t xml:space="preserve">, </w:t>
      </w:r>
      <w:r w:rsidR="00C86C09" w:rsidRPr="0052673F">
        <w:rPr>
          <w:rFonts w:ascii="Tahoma" w:hAnsi="Tahoma" w:cs="Tahoma"/>
        </w:rPr>
        <w:t>TX</w:t>
      </w:r>
      <w:r w:rsidR="00E20636">
        <w:rPr>
          <w:rFonts w:ascii="Tahoma" w:hAnsi="Tahoma" w:cs="Tahoma"/>
        </w:rPr>
        <w:t xml:space="preserve">   </w:t>
      </w:r>
      <w:r w:rsidR="00723F1D" w:rsidRPr="0052673F">
        <w:rPr>
          <w:rFonts w:ascii="Tahoma" w:hAnsi="Tahoma" w:cs="Tahoma"/>
        </w:rPr>
        <w:t xml:space="preserve">             </w:t>
      </w:r>
      <w:r w:rsidR="00E20636">
        <w:rPr>
          <w:rFonts w:ascii="Tahoma" w:hAnsi="Tahoma" w:cs="Tahoma"/>
        </w:rPr>
        <w:t xml:space="preserve"> </w:t>
      </w:r>
      <w:r w:rsidR="00723F1D" w:rsidRPr="0052673F">
        <w:rPr>
          <w:rFonts w:ascii="Tahoma" w:hAnsi="Tahoma" w:cs="Tahoma"/>
        </w:rPr>
        <w:t xml:space="preserve">      </w:t>
      </w:r>
      <w:r w:rsidR="00C33395">
        <w:rPr>
          <w:rFonts w:ascii="Tahoma" w:hAnsi="Tahoma" w:cs="Tahoma"/>
        </w:rPr>
        <w:t xml:space="preserve">    </w:t>
      </w:r>
      <w:r w:rsidR="00723F1D" w:rsidRPr="0052673F">
        <w:rPr>
          <w:rFonts w:ascii="Tahoma" w:hAnsi="Tahoma" w:cs="Tahoma"/>
        </w:rPr>
        <w:t xml:space="preserve">   </w:t>
      </w:r>
      <w:r w:rsidR="00C33395">
        <w:rPr>
          <w:rFonts w:ascii="Tahoma" w:hAnsi="Tahoma" w:cs="Tahoma"/>
        </w:rPr>
        <w:t xml:space="preserve">  </w:t>
      </w:r>
      <w:r w:rsidR="00C86C09" w:rsidRPr="0052673F">
        <w:rPr>
          <w:rFonts w:ascii="Tahoma" w:hAnsi="Tahoma" w:cs="Tahoma"/>
          <w:b/>
        </w:rPr>
        <w:t>2017</w:t>
      </w:r>
      <w:r w:rsidR="00A7423E" w:rsidRPr="0052673F">
        <w:rPr>
          <w:rFonts w:ascii="Tahoma" w:hAnsi="Tahoma" w:cs="Tahoma"/>
          <w:b/>
        </w:rPr>
        <w:t xml:space="preserve"> – </w:t>
      </w:r>
      <w:r w:rsidR="00C86C09" w:rsidRPr="0052673F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23</w:t>
      </w:r>
    </w:p>
    <w:p w14:paraId="2BB60DC4" w14:textId="5F8AEAA5" w:rsidR="00FC4F1B" w:rsidRPr="00D460D1" w:rsidRDefault="004F53B0" w:rsidP="00CA75A4">
      <w:pPr>
        <w:tabs>
          <w:tab w:val="right" w:pos="9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Senior Production Engineer</w:t>
      </w:r>
    </w:p>
    <w:p w14:paraId="00682AAD" w14:textId="32A75478" w:rsidR="00E63F21" w:rsidRDefault="00E63F21" w:rsidP="00E63F21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Cs w:val="21"/>
        </w:rPr>
      </w:pPr>
      <w:r w:rsidRPr="00D460D1">
        <w:rPr>
          <w:rFonts w:ascii="Tahoma" w:hAnsi="Tahoma" w:cs="Tahoma"/>
          <w:szCs w:val="21"/>
        </w:rPr>
        <w:t>Responsible for managing</w:t>
      </w:r>
      <w:r w:rsidR="004F53B0">
        <w:rPr>
          <w:rFonts w:ascii="Tahoma" w:hAnsi="Tahoma" w:cs="Tahoma"/>
          <w:szCs w:val="21"/>
        </w:rPr>
        <w:t xml:space="preserve"> full field development </w:t>
      </w:r>
      <w:r w:rsidR="00531E3A">
        <w:rPr>
          <w:rFonts w:ascii="Tahoma" w:hAnsi="Tahoma" w:cs="Tahoma"/>
          <w:szCs w:val="21"/>
        </w:rPr>
        <w:t>of</w:t>
      </w:r>
      <w:r w:rsidR="004F53B0">
        <w:rPr>
          <w:rFonts w:ascii="Tahoma" w:hAnsi="Tahoma" w:cs="Tahoma"/>
          <w:szCs w:val="21"/>
        </w:rPr>
        <w:t xml:space="preserve"> properties in the Midland Basin, managing budgets, </w:t>
      </w:r>
      <w:r w:rsidR="00752958">
        <w:rPr>
          <w:rFonts w:ascii="Tahoma" w:hAnsi="Tahoma" w:cs="Tahoma"/>
          <w:szCs w:val="21"/>
        </w:rPr>
        <w:t>completions design</w:t>
      </w:r>
      <w:r w:rsidR="004F53B0">
        <w:rPr>
          <w:rFonts w:ascii="Tahoma" w:hAnsi="Tahoma" w:cs="Tahoma"/>
          <w:szCs w:val="21"/>
        </w:rPr>
        <w:t xml:space="preserve">, production forecasting, as well as </w:t>
      </w:r>
      <w:r w:rsidR="00531E3A">
        <w:rPr>
          <w:rFonts w:ascii="Tahoma" w:hAnsi="Tahoma" w:cs="Tahoma"/>
          <w:szCs w:val="21"/>
        </w:rPr>
        <w:t xml:space="preserve">evaluating </w:t>
      </w:r>
      <w:r w:rsidR="004F53B0">
        <w:rPr>
          <w:rFonts w:ascii="Tahoma" w:hAnsi="Tahoma" w:cs="Tahoma"/>
          <w:szCs w:val="21"/>
        </w:rPr>
        <w:t>engineering design</w:t>
      </w:r>
      <w:r w:rsidR="00531E3A">
        <w:rPr>
          <w:rFonts w:ascii="Tahoma" w:hAnsi="Tahoma" w:cs="Tahoma"/>
          <w:szCs w:val="21"/>
        </w:rPr>
        <w:t>s</w:t>
      </w:r>
      <w:r w:rsidR="004F53B0">
        <w:rPr>
          <w:rFonts w:ascii="Tahoma" w:hAnsi="Tahoma" w:cs="Tahoma"/>
          <w:szCs w:val="21"/>
        </w:rPr>
        <w:t>.</w:t>
      </w:r>
    </w:p>
    <w:p w14:paraId="730283C7" w14:textId="77777777" w:rsidR="00522084" w:rsidRPr="00D460D1" w:rsidRDefault="00522084" w:rsidP="00E63F21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 w:val="16"/>
          <w:szCs w:val="16"/>
        </w:rPr>
      </w:pPr>
    </w:p>
    <w:p w14:paraId="4A55DDE6" w14:textId="7F4B997A" w:rsidR="003666DC" w:rsidRDefault="003B5584" w:rsidP="00752958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Managed development project from 7 initial wells to 144 wells over 7 years with an annual budget of $80 million.</w:t>
      </w:r>
    </w:p>
    <w:p w14:paraId="4E5EB8F9" w14:textId="6437C38D" w:rsidR="00752958" w:rsidRDefault="00752958" w:rsidP="00752958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752958">
        <w:rPr>
          <w:rFonts w:ascii="Tahoma" w:eastAsia="Times New Roman" w:hAnsi="Tahoma" w:cs="Tahoma"/>
          <w:kern w:val="28"/>
          <w:szCs w:val="21"/>
        </w:rPr>
        <w:t>Collaborated with a team in the design of completion strategies for the Wolfcamp A, B, D, and Lower Spraberry formations in the Midland Basin, ensuring optimal reservoir stimulation and hydrocarbon recovery.</w:t>
      </w:r>
    </w:p>
    <w:p w14:paraId="729E5E70" w14:textId="1AA0D044" w:rsidR="00023C79" w:rsidRPr="00752958" w:rsidRDefault="00023C79" w:rsidP="00752958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Performed extensive post job analysis on stimulation effectiveness. Optimized treatment rates, cluster spacing, stage spacing and determined more accurate reservoir property values for future simulations.</w:t>
      </w:r>
    </w:p>
    <w:p w14:paraId="22EAFFFA" w14:textId="77777777" w:rsidR="00752958" w:rsidRPr="00752958" w:rsidRDefault="00752958" w:rsidP="00752958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752958">
        <w:rPr>
          <w:rFonts w:ascii="Tahoma" w:eastAsia="Times New Roman" w:hAnsi="Tahoma" w:cs="Tahoma"/>
          <w:kern w:val="28"/>
          <w:szCs w:val="21"/>
        </w:rPr>
        <w:t>Prepared accurate monthly forecasts for Lease Operating Expenses (LOE) and capital expenditures, facilitating effective financial planning and budget management.</w:t>
      </w:r>
    </w:p>
    <w:p w14:paraId="2C6AD34B" w14:textId="77777777" w:rsidR="00752958" w:rsidRPr="00752958" w:rsidRDefault="00752958" w:rsidP="00752958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752958">
        <w:rPr>
          <w:rFonts w:ascii="Tahoma" w:eastAsia="Times New Roman" w:hAnsi="Tahoma" w:cs="Tahoma"/>
          <w:kern w:val="28"/>
          <w:szCs w:val="21"/>
        </w:rPr>
        <w:t>Conducted thorough field audits to ensure safe and cost-efficient production operations, maintaining compliance with industry regulations and implementing necessary improvements.</w:t>
      </w:r>
    </w:p>
    <w:p w14:paraId="1938A3F0" w14:textId="77777777" w:rsidR="00752958" w:rsidRPr="00752958" w:rsidRDefault="00752958" w:rsidP="00752958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752958">
        <w:rPr>
          <w:rFonts w:ascii="Tahoma" w:eastAsia="Times New Roman" w:hAnsi="Tahoma" w:cs="Tahoma"/>
          <w:kern w:val="28"/>
          <w:szCs w:val="21"/>
        </w:rPr>
        <w:t>Presented operational activities, achievements, and key performance indicators in all quarterly board meetings, effectively communicating progress, addressing challenges, and aligning with organizational goals.</w:t>
      </w:r>
    </w:p>
    <w:p w14:paraId="2CF5F0CD" w14:textId="74658A90" w:rsidR="00752958" w:rsidRPr="00752958" w:rsidRDefault="00E20636" w:rsidP="00752958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Contributed</w:t>
      </w:r>
      <w:r w:rsidR="00752958" w:rsidRPr="00752958">
        <w:rPr>
          <w:rFonts w:ascii="Tahoma" w:eastAsia="Times New Roman" w:hAnsi="Tahoma" w:cs="Tahoma"/>
          <w:kern w:val="28"/>
          <w:szCs w:val="21"/>
        </w:rPr>
        <w:t xml:space="preserve"> </w:t>
      </w:r>
      <w:r>
        <w:rPr>
          <w:rFonts w:ascii="Tahoma" w:eastAsia="Times New Roman" w:hAnsi="Tahoma" w:cs="Tahoma"/>
          <w:kern w:val="28"/>
          <w:szCs w:val="21"/>
        </w:rPr>
        <w:t xml:space="preserve">significantly </w:t>
      </w:r>
      <w:r w:rsidR="00752958" w:rsidRPr="00752958">
        <w:rPr>
          <w:rFonts w:ascii="Tahoma" w:eastAsia="Times New Roman" w:hAnsi="Tahoma" w:cs="Tahoma"/>
          <w:kern w:val="28"/>
          <w:szCs w:val="21"/>
        </w:rPr>
        <w:t>to the successful sale of the company, facilitating its acquisition by Diamondback Energy for a substantial $1.5 billion.</w:t>
      </w:r>
    </w:p>
    <w:p w14:paraId="2C2DEB26" w14:textId="4DFC9428" w:rsidR="00402AD9" w:rsidRPr="0057474E" w:rsidRDefault="00402AD9" w:rsidP="00F2481F">
      <w:pPr>
        <w:pStyle w:val="ListParagraph"/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hAnsi="Tahoma" w:cs="Tahoma"/>
          <w:szCs w:val="21"/>
        </w:rPr>
      </w:pPr>
    </w:p>
    <w:p w14:paraId="2DC066AD" w14:textId="77777777" w:rsidR="00D76778" w:rsidRPr="00D460D1" w:rsidRDefault="00D76778" w:rsidP="00402AD9">
      <w:pPr>
        <w:tabs>
          <w:tab w:val="right" w:pos="9360"/>
        </w:tabs>
        <w:spacing w:after="0" w:line="240" w:lineRule="auto"/>
        <w:rPr>
          <w:rFonts w:ascii="Tahoma" w:hAnsi="Tahoma" w:cs="Tahoma"/>
          <w:b/>
          <w:caps/>
        </w:rPr>
      </w:pPr>
    </w:p>
    <w:p w14:paraId="7E583A14" w14:textId="77777777" w:rsidR="00531E3A" w:rsidRDefault="00531E3A">
      <w:pPr>
        <w:spacing w:after="160" w:line="259" w:lineRule="auto"/>
        <w:rPr>
          <w:rFonts w:ascii="Tahoma" w:hAnsi="Tahoma" w:cs="Tahoma"/>
          <w:b/>
          <w:caps/>
          <w:lang w:val="es-419"/>
        </w:rPr>
      </w:pPr>
      <w:r>
        <w:rPr>
          <w:rFonts w:ascii="Tahoma" w:hAnsi="Tahoma" w:cs="Tahoma"/>
          <w:b/>
          <w:caps/>
          <w:lang w:val="es-419"/>
        </w:rPr>
        <w:br w:type="page"/>
      </w:r>
    </w:p>
    <w:p w14:paraId="18CC3EC3" w14:textId="1774FE9B" w:rsidR="00402AD9" w:rsidRPr="00D460D1" w:rsidRDefault="00E20F65" w:rsidP="00C33395">
      <w:pPr>
        <w:tabs>
          <w:tab w:val="right" w:pos="10170"/>
        </w:tabs>
        <w:spacing w:after="0" w:line="240" w:lineRule="auto"/>
        <w:rPr>
          <w:rFonts w:ascii="Tahoma" w:hAnsi="Tahoma" w:cs="Tahoma"/>
          <w:lang w:val="es-419"/>
        </w:rPr>
      </w:pPr>
      <w:r>
        <w:rPr>
          <w:rFonts w:ascii="Tahoma" w:hAnsi="Tahoma" w:cs="Tahoma"/>
          <w:b/>
          <w:caps/>
          <w:lang w:val="es-419"/>
        </w:rPr>
        <w:lastRenderedPageBreak/>
        <w:t>Linn Energy</w:t>
      </w:r>
      <w:r w:rsidR="00402AD9" w:rsidRPr="0057474E">
        <w:rPr>
          <w:rFonts w:ascii="Tahoma" w:hAnsi="Tahoma" w:cs="Tahoma"/>
          <w:lang w:val="es-419"/>
        </w:rPr>
        <w:t>,</w:t>
      </w:r>
      <w:r w:rsidR="003D15C9">
        <w:rPr>
          <w:rFonts w:ascii="Tahoma" w:hAnsi="Tahoma" w:cs="Tahoma"/>
          <w:lang w:val="es-419"/>
        </w:rPr>
        <w:t xml:space="preserve"> </w:t>
      </w:r>
      <w:r>
        <w:rPr>
          <w:rFonts w:ascii="Tahoma" w:hAnsi="Tahoma" w:cs="Tahoma"/>
          <w:lang w:val="es-419"/>
        </w:rPr>
        <w:t>Houston, TX</w:t>
      </w:r>
      <w:r w:rsidR="00D76778" w:rsidRPr="0052673F">
        <w:rPr>
          <w:rFonts w:ascii="Tahoma" w:hAnsi="Tahoma" w:cs="Tahoma"/>
          <w:lang w:val="es-419"/>
        </w:rPr>
        <w:t xml:space="preserve"> </w:t>
      </w:r>
      <w:r w:rsidR="003D15C9">
        <w:rPr>
          <w:rFonts w:ascii="Tahoma" w:hAnsi="Tahoma" w:cs="Tahoma"/>
          <w:lang w:val="es-419"/>
        </w:rPr>
        <w:t xml:space="preserve">     </w:t>
      </w:r>
      <w:r w:rsidR="00402AD9" w:rsidRPr="0052673F">
        <w:rPr>
          <w:rFonts w:ascii="Tahoma" w:hAnsi="Tahoma" w:cs="Tahoma"/>
          <w:lang w:val="es-419"/>
        </w:rPr>
        <w:t xml:space="preserve"> </w:t>
      </w:r>
      <w:r w:rsidR="00402AD9" w:rsidRPr="0052673F">
        <w:rPr>
          <w:rFonts w:ascii="Tahoma" w:hAnsi="Tahoma" w:cs="Tahoma"/>
          <w:lang w:val="es-419"/>
        </w:rPr>
        <w:tab/>
      </w:r>
      <w:r w:rsidR="00723F1D" w:rsidRPr="0052673F">
        <w:rPr>
          <w:rFonts w:ascii="Tahoma" w:hAnsi="Tahoma" w:cs="Tahoma"/>
          <w:lang w:val="es-419"/>
        </w:rPr>
        <w:t xml:space="preserve">                                 </w:t>
      </w:r>
      <w:r>
        <w:rPr>
          <w:rFonts w:ascii="Tahoma" w:hAnsi="Tahoma" w:cs="Tahoma"/>
          <w:b/>
          <w:lang w:val="es-419"/>
        </w:rPr>
        <w:t>2014 - 2017</w:t>
      </w:r>
    </w:p>
    <w:p w14:paraId="6E906B1F" w14:textId="5B015FB3" w:rsidR="00402AD9" w:rsidRPr="00D460D1" w:rsidRDefault="00274969" w:rsidP="00402AD9">
      <w:pPr>
        <w:tabs>
          <w:tab w:val="right" w:pos="9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Sr. Production Engineer, </w:t>
      </w:r>
      <w:r w:rsidR="00E20F65">
        <w:rPr>
          <w:rFonts w:ascii="Tahoma" w:hAnsi="Tahoma" w:cs="Tahoma"/>
          <w:b/>
        </w:rPr>
        <w:t>STX Operations Team Lead</w:t>
      </w:r>
    </w:p>
    <w:p w14:paraId="35906CAA" w14:textId="124BE757" w:rsidR="00522084" w:rsidRPr="003B5584" w:rsidRDefault="00E20F65" w:rsidP="00402AD9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Led a highly motivated team of engineers and field personnel, </w:t>
      </w:r>
      <w:r w:rsidR="00752958">
        <w:rPr>
          <w:rFonts w:ascii="Tahoma" w:hAnsi="Tahoma" w:cs="Tahoma"/>
          <w:szCs w:val="21"/>
        </w:rPr>
        <w:t>designing and executing fracs, re-fracs</w:t>
      </w:r>
      <w:r>
        <w:rPr>
          <w:rFonts w:ascii="Tahoma" w:hAnsi="Tahoma" w:cs="Tahoma"/>
          <w:szCs w:val="21"/>
        </w:rPr>
        <w:t>, workovers, and capital projects under budget and surpassing production goals.</w:t>
      </w:r>
    </w:p>
    <w:p w14:paraId="5466AF0A" w14:textId="77777777" w:rsidR="004C211B" w:rsidRPr="004C211B" w:rsidRDefault="004C211B" w:rsidP="004C211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4C211B">
        <w:rPr>
          <w:rFonts w:ascii="Tahoma" w:eastAsia="Times New Roman" w:hAnsi="Tahoma" w:cs="Tahoma"/>
          <w:kern w:val="28"/>
          <w:szCs w:val="21"/>
        </w:rPr>
        <w:t>Designed and executed capital workovers, including plunger lift, rod pump, gas lift installations, re-fracs, skin fracs, and well re-entry/activations, optimizing production performance and extending well life.</w:t>
      </w:r>
    </w:p>
    <w:p w14:paraId="0255F4DE" w14:textId="77777777" w:rsidR="004C211B" w:rsidRPr="004C211B" w:rsidRDefault="004C211B" w:rsidP="004C211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4C211B">
        <w:rPr>
          <w:rFonts w:ascii="Tahoma" w:eastAsia="Times New Roman" w:hAnsi="Tahoma" w:cs="Tahoma"/>
          <w:kern w:val="28"/>
          <w:szCs w:val="21"/>
        </w:rPr>
        <w:t>Piloted quarterly well reviews, integrating field operations, geology, reservoir, facilities, and production data to perform root-cause failure analysis and implement effective solutions.</w:t>
      </w:r>
    </w:p>
    <w:p w14:paraId="369FA125" w14:textId="77777777" w:rsidR="004C211B" w:rsidRDefault="004C211B" w:rsidP="004C211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4C211B">
        <w:rPr>
          <w:rFonts w:ascii="Tahoma" w:eastAsia="Times New Roman" w:hAnsi="Tahoma" w:cs="Tahoma"/>
          <w:kern w:val="28"/>
          <w:szCs w:val="21"/>
        </w:rPr>
        <w:t>Collaborated with land and regulatory teams to strategically shut in wells, minimizing the impact on overall production in a low gas price environment.</w:t>
      </w:r>
    </w:p>
    <w:p w14:paraId="16EC64A3" w14:textId="774E2F46" w:rsidR="004C211B" w:rsidRDefault="004C211B" w:rsidP="004C211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Designed all completion designs for horizontal well program in the Midland Basin, exceeding type curve expectations.</w:t>
      </w:r>
    </w:p>
    <w:p w14:paraId="24173A48" w14:textId="77777777" w:rsidR="004C211B" w:rsidRPr="004C211B" w:rsidRDefault="004C211B" w:rsidP="004C211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4C211B">
        <w:rPr>
          <w:rFonts w:ascii="Tahoma" w:eastAsia="Times New Roman" w:hAnsi="Tahoma" w:cs="Tahoma"/>
          <w:kern w:val="28"/>
          <w:szCs w:val="21"/>
        </w:rPr>
        <w:t>Coordinated logistics for operations in several fields, working with 2 workover rigs, 2 wireline crews, one P&amp;A crew and one frac crew at any given time.</w:t>
      </w:r>
    </w:p>
    <w:p w14:paraId="10B25298" w14:textId="77777777" w:rsidR="004C211B" w:rsidRPr="004C211B" w:rsidRDefault="004C211B" w:rsidP="004C211B">
      <w:pPr>
        <w:pStyle w:val="ListParagraph"/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</w:p>
    <w:p w14:paraId="793582FB" w14:textId="77777777" w:rsidR="00CE5EEB" w:rsidRPr="0057474E" w:rsidRDefault="00CE5EEB" w:rsidP="00CE5EEB">
      <w:pPr>
        <w:pStyle w:val="ListParagraph"/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4"/>
        <w:contextualSpacing w:val="0"/>
        <w:jc w:val="both"/>
        <w:rPr>
          <w:rFonts w:ascii="Tahoma" w:hAnsi="Tahoma" w:cs="Tahoma"/>
          <w:szCs w:val="21"/>
        </w:rPr>
      </w:pPr>
    </w:p>
    <w:p w14:paraId="0D65D03C" w14:textId="344A1709" w:rsidR="00CE5EEB" w:rsidRPr="00D460D1" w:rsidRDefault="00CE5EEB" w:rsidP="00C33395">
      <w:pPr>
        <w:tabs>
          <w:tab w:val="right" w:pos="10170"/>
        </w:tabs>
        <w:spacing w:after="0" w:line="240" w:lineRule="auto"/>
        <w:rPr>
          <w:rFonts w:ascii="Tahoma" w:hAnsi="Tahoma" w:cs="Tahoma"/>
          <w:lang w:val="es-419"/>
        </w:rPr>
      </w:pPr>
      <w:r>
        <w:rPr>
          <w:rFonts w:ascii="Tahoma" w:hAnsi="Tahoma" w:cs="Tahoma"/>
          <w:b/>
          <w:caps/>
          <w:lang w:val="es-419"/>
        </w:rPr>
        <w:t>Occidental Petroleum</w:t>
      </w:r>
      <w:r w:rsidRPr="0057474E">
        <w:rPr>
          <w:rFonts w:ascii="Tahoma" w:hAnsi="Tahoma" w:cs="Tahoma"/>
          <w:lang w:val="es-419"/>
        </w:rPr>
        <w:t>,</w:t>
      </w:r>
      <w:r>
        <w:rPr>
          <w:rFonts w:ascii="Tahoma" w:hAnsi="Tahoma" w:cs="Tahoma"/>
          <w:lang w:val="es-419"/>
        </w:rPr>
        <w:t xml:space="preserve"> Houston, TX</w:t>
      </w:r>
      <w:r w:rsidRPr="0052673F">
        <w:rPr>
          <w:rFonts w:ascii="Tahoma" w:hAnsi="Tahoma" w:cs="Tahoma"/>
          <w:lang w:val="es-419"/>
        </w:rPr>
        <w:t xml:space="preserve"> </w:t>
      </w:r>
      <w:r>
        <w:rPr>
          <w:rFonts w:ascii="Tahoma" w:hAnsi="Tahoma" w:cs="Tahoma"/>
          <w:lang w:val="es-419"/>
        </w:rPr>
        <w:t xml:space="preserve">     </w:t>
      </w:r>
      <w:r w:rsidRPr="0052673F">
        <w:rPr>
          <w:rFonts w:ascii="Tahoma" w:hAnsi="Tahoma" w:cs="Tahoma"/>
          <w:lang w:val="es-419"/>
        </w:rPr>
        <w:t xml:space="preserve"> </w:t>
      </w:r>
      <w:r w:rsidRPr="0052673F">
        <w:rPr>
          <w:rFonts w:ascii="Tahoma" w:hAnsi="Tahoma" w:cs="Tahoma"/>
          <w:lang w:val="es-419"/>
        </w:rPr>
        <w:tab/>
        <w:t xml:space="preserve">                                 </w:t>
      </w:r>
      <w:r>
        <w:rPr>
          <w:rFonts w:ascii="Tahoma" w:hAnsi="Tahoma" w:cs="Tahoma"/>
          <w:b/>
          <w:lang w:val="es-419"/>
        </w:rPr>
        <w:t>2011 - 2014</w:t>
      </w:r>
    </w:p>
    <w:p w14:paraId="15F23ECE" w14:textId="3ADC0EF3" w:rsidR="00CE5EEB" w:rsidRPr="00D460D1" w:rsidRDefault="00274969" w:rsidP="00CE5EEB">
      <w:pPr>
        <w:tabs>
          <w:tab w:val="right" w:pos="9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Production Engineer, </w:t>
      </w:r>
      <w:r w:rsidR="00CE5EEB">
        <w:rPr>
          <w:rFonts w:ascii="Tahoma" w:hAnsi="Tahoma" w:cs="Tahoma"/>
          <w:b/>
        </w:rPr>
        <w:t>Completions Engineering Team Lead</w:t>
      </w:r>
    </w:p>
    <w:p w14:paraId="4560D471" w14:textId="03C30BB5" w:rsidR="00CE5EEB" w:rsidRPr="003B5584" w:rsidRDefault="00CE5EEB" w:rsidP="00CE5EEB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Motivated and inspired team of engineers </w:t>
      </w:r>
      <w:r w:rsidR="00E20636">
        <w:rPr>
          <w:rFonts w:ascii="Tahoma" w:hAnsi="Tahoma" w:cs="Tahoma"/>
          <w:szCs w:val="21"/>
        </w:rPr>
        <w:t>in the</w:t>
      </w:r>
      <w:r>
        <w:rPr>
          <w:rFonts w:ascii="Tahoma" w:hAnsi="Tahoma" w:cs="Tahoma"/>
          <w:szCs w:val="21"/>
        </w:rPr>
        <w:t xml:space="preserve"> design, execution, and evaluation of the horizontal well program in the Delaware Basin.</w:t>
      </w:r>
    </w:p>
    <w:p w14:paraId="7CF9E5E7" w14:textId="77777777" w:rsidR="0039019E" w:rsidRPr="004C211B" w:rsidRDefault="0039019E" w:rsidP="0039019E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4C211B">
        <w:rPr>
          <w:rFonts w:ascii="Tahoma" w:eastAsia="Times New Roman" w:hAnsi="Tahoma" w:cs="Tahoma"/>
          <w:kern w:val="28"/>
          <w:szCs w:val="21"/>
        </w:rPr>
        <w:t>Designed and implemented initial lift installations, remedial lift revisions, remedial cement jobs, casing repair operations, coiled tubing operations, unconventional completion methods, and fishing operations, ensuring optimal well productivity.</w:t>
      </w:r>
    </w:p>
    <w:p w14:paraId="19F5C562" w14:textId="77777777" w:rsidR="0039019E" w:rsidRPr="004C211B" w:rsidRDefault="0039019E" w:rsidP="0039019E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4C211B">
        <w:rPr>
          <w:rFonts w:ascii="Tahoma" w:eastAsia="Times New Roman" w:hAnsi="Tahoma" w:cs="Tahoma"/>
          <w:kern w:val="28"/>
          <w:szCs w:val="21"/>
        </w:rPr>
        <w:t>Conducted troubleshooting on problem wells with beam lift and ESP deficiencies, identifying root causes and implementing effective solutions.</w:t>
      </w:r>
    </w:p>
    <w:p w14:paraId="6326842D" w14:textId="4A70F40F" w:rsidR="004C211B" w:rsidRPr="004C211B" w:rsidRDefault="004C211B" w:rsidP="004C211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4C211B">
        <w:rPr>
          <w:rFonts w:ascii="Tahoma" w:eastAsia="Times New Roman" w:hAnsi="Tahoma" w:cs="Tahoma"/>
          <w:kern w:val="28"/>
          <w:szCs w:val="21"/>
        </w:rPr>
        <w:t>Designed and executed completion designs, coordinating operations and facilities, and identified recompletion and lift revision candidates.</w:t>
      </w:r>
      <w:r w:rsidR="00E72429">
        <w:rPr>
          <w:rFonts w:ascii="Tahoma" w:eastAsia="Times New Roman" w:hAnsi="Tahoma" w:cs="Tahoma"/>
          <w:kern w:val="28"/>
          <w:szCs w:val="21"/>
        </w:rPr>
        <w:t xml:space="preserve"> Focused on horizontal wells in the Delaware Basin</w:t>
      </w:r>
    </w:p>
    <w:p w14:paraId="57A98CEF" w14:textId="77777777" w:rsidR="004C211B" w:rsidRPr="004C211B" w:rsidRDefault="004C211B" w:rsidP="004C211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4C211B">
        <w:rPr>
          <w:rFonts w:ascii="Tahoma" w:eastAsia="Times New Roman" w:hAnsi="Tahoma" w:cs="Tahoma"/>
          <w:kern w:val="28"/>
          <w:szCs w:val="21"/>
        </w:rPr>
        <w:t>Implemented efficiencies in well completion processes, resulting in significant cost savings of over $500,000 per well.</w:t>
      </w:r>
    </w:p>
    <w:p w14:paraId="3AC7EFCD" w14:textId="77777777" w:rsidR="004C211B" w:rsidRDefault="004C211B" w:rsidP="004C211B">
      <w:pPr>
        <w:pStyle w:val="ListParagraph"/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</w:p>
    <w:p w14:paraId="4E482520" w14:textId="77777777" w:rsidR="003B5584" w:rsidRPr="00D460D1" w:rsidRDefault="003B5584" w:rsidP="003B5584">
      <w:pPr>
        <w:tabs>
          <w:tab w:val="right" w:pos="10170"/>
        </w:tabs>
        <w:spacing w:after="0" w:line="240" w:lineRule="auto"/>
        <w:rPr>
          <w:rFonts w:ascii="Tahoma" w:hAnsi="Tahoma" w:cs="Tahoma"/>
          <w:lang w:val="es-419"/>
        </w:rPr>
      </w:pPr>
      <w:r>
        <w:rPr>
          <w:rFonts w:ascii="Tahoma" w:hAnsi="Tahoma" w:cs="Tahoma"/>
          <w:b/>
          <w:caps/>
          <w:lang w:val="es-419"/>
        </w:rPr>
        <w:t>Schlumberger</w:t>
      </w:r>
      <w:r w:rsidRPr="0057474E">
        <w:rPr>
          <w:rFonts w:ascii="Tahoma" w:hAnsi="Tahoma" w:cs="Tahoma"/>
          <w:lang w:val="es-419"/>
        </w:rPr>
        <w:t>,</w:t>
      </w:r>
      <w:r>
        <w:rPr>
          <w:rFonts w:ascii="Tahoma" w:hAnsi="Tahoma" w:cs="Tahoma"/>
          <w:lang w:val="es-419"/>
        </w:rPr>
        <w:t xml:space="preserve"> LA, KSA, TX, OK</w:t>
      </w:r>
      <w:r w:rsidRPr="0052673F">
        <w:rPr>
          <w:rFonts w:ascii="Tahoma" w:hAnsi="Tahoma" w:cs="Tahoma"/>
          <w:lang w:val="es-419"/>
        </w:rPr>
        <w:t xml:space="preserve"> </w:t>
      </w:r>
      <w:r>
        <w:rPr>
          <w:rFonts w:ascii="Tahoma" w:hAnsi="Tahoma" w:cs="Tahoma"/>
          <w:lang w:val="es-419"/>
        </w:rPr>
        <w:t xml:space="preserve">     </w:t>
      </w:r>
      <w:r w:rsidRPr="0052673F">
        <w:rPr>
          <w:rFonts w:ascii="Tahoma" w:hAnsi="Tahoma" w:cs="Tahoma"/>
          <w:lang w:val="es-419"/>
        </w:rPr>
        <w:t xml:space="preserve"> </w:t>
      </w:r>
      <w:r w:rsidRPr="0052673F">
        <w:rPr>
          <w:rFonts w:ascii="Tahoma" w:hAnsi="Tahoma" w:cs="Tahoma"/>
          <w:lang w:val="es-419"/>
        </w:rPr>
        <w:tab/>
        <w:t xml:space="preserve">                                 </w:t>
      </w:r>
      <w:r>
        <w:rPr>
          <w:rFonts w:ascii="Tahoma" w:hAnsi="Tahoma" w:cs="Tahoma"/>
          <w:b/>
          <w:lang w:val="es-419"/>
        </w:rPr>
        <w:t>2001 - 2011</w:t>
      </w:r>
    </w:p>
    <w:p w14:paraId="40C52839" w14:textId="77777777" w:rsidR="003B5584" w:rsidRPr="00D460D1" w:rsidRDefault="003B5584" w:rsidP="003B5584">
      <w:pPr>
        <w:tabs>
          <w:tab w:val="right" w:pos="9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General Field Engineer, Account Manager</w:t>
      </w:r>
    </w:p>
    <w:p w14:paraId="394EE3FB" w14:textId="08F398C4" w:rsidR="003B5584" w:rsidRPr="003B5584" w:rsidRDefault="003B5584" w:rsidP="003B5584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Worked with teams to design and implement new technologies in stimulation treatments.</w:t>
      </w:r>
    </w:p>
    <w:p w14:paraId="68F42937" w14:textId="77777777" w:rsidR="00E20636" w:rsidRDefault="00E20636" w:rsidP="00E2063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Worked for clients “in-house” designing and evaluating stimulation programs. Successfully modified Riata Energy’s completion program to increase well production in the Permian Basin by 100%+.</w:t>
      </w:r>
    </w:p>
    <w:p w14:paraId="79DE17CA" w14:textId="77777777" w:rsidR="00E20636" w:rsidRDefault="00E20636" w:rsidP="00E2063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Presented various Schlumberger technologies to clients across the United States, increasing revenues while reducing costs for clients.</w:t>
      </w:r>
    </w:p>
    <w:p w14:paraId="367A0065" w14:textId="77777777" w:rsidR="00E20636" w:rsidRDefault="00E20636" w:rsidP="00E2063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Managed operations for multiple frac, acid and cementing crews, overseeing a team of over 100 field operators. Maintained strong focus on resource leveling, team building, budget management, and continuous improvement.</w:t>
      </w:r>
    </w:p>
    <w:p w14:paraId="016E04B4" w14:textId="77777777" w:rsidR="00E20636" w:rsidRPr="0057474E" w:rsidRDefault="00E20636" w:rsidP="00E2063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Performed large scale frac operations, acid treatments and cementing operations in the field. Received numerous safety awards.</w:t>
      </w:r>
    </w:p>
    <w:p w14:paraId="5D6F4C25" w14:textId="77777777" w:rsidR="009E615F" w:rsidRPr="004C211B" w:rsidRDefault="009E615F" w:rsidP="004C211B">
      <w:pPr>
        <w:pStyle w:val="ListParagraph"/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</w:p>
    <w:p w14:paraId="40EE9756" w14:textId="58DA5700" w:rsidR="009E615F" w:rsidRPr="00D460D1" w:rsidRDefault="00FC4F1B" w:rsidP="003B5584">
      <w:pP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28"/>
        </w:rPr>
      </w:pPr>
      <w:r w:rsidRPr="00522084">
        <w:rPr>
          <w:rFonts w:ascii="Tahoma" w:hAnsi="Tahoma" w:cs="Tahoma"/>
          <w:szCs w:val="21"/>
        </w:rPr>
        <w:t xml:space="preserve"> </w:t>
      </w:r>
      <w:r w:rsidR="009E615F">
        <w:rPr>
          <w:rFonts w:ascii="Tahoma" w:hAnsi="Tahoma" w:cs="Tahoma"/>
          <w:b/>
          <w:smallCaps/>
          <w:sz w:val="28"/>
          <w:szCs w:val="28"/>
        </w:rPr>
        <w:t xml:space="preserve">Software Proficiencies </w:t>
      </w:r>
    </w:p>
    <w:p w14:paraId="32708184" w14:textId="73B93EC0" w:rsidR="009E615F" w:rsidRPr="00D460D1" w:rsidRDefault="0039019E" w:rsidP="009E615F">
      <w:pPr>
        <w:spacing w:after="0" w:line="240" w:lineRule="auto"/>
        <w:jc w:val="center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Peloton </w:t>
      </w:r>
      <w:proofErr w:type="spellStart"/>
      <w:r>
        <w:rPr>
          <w:rFonts w:ascii="Tahoma" w:hAnsi="Tahoma" w:cs="Tahoma"/>
          <w:szCs w:val="21"/>
        </w:rPr>
        <w:t>Wellview</w:t>
      </w:r>
      <w:proofErr w:type="spellEnd"/>
      <w:r>
        <w:rPr>
          <w:rFonts w:ascii="Tahoma" w:hAnsi="Tahoma" w:cs="Tahoma"/>
          <w:szCs w:val="21"/>
        </w:rPr>
        <w:t xml:space="preserve"> | LOWIS | </w:t>
      </w:r>
      <w:proofErr w:type="spellStart"/>
      <w:r>
        <w:rPr>
          <w:rFonts w:ascii="Tahoma" w:hAnsi="Tahoma" w:cs="Tahoma"/>
          <w:szCs w:val="21"/>
        </w:rPr>
        <w:t>CygNet</w:t>
      </w:r>
      <w:proofErr w:type="spellEnd"/>
      <w:r>
        <w:rPr>
          <w:rFonts w:ascii="Tahoma" w:hAnsi="Tahoma" w:cs="Tahoma"/>
          <w:szCs w:val="21"/>
        </w:rPr>
        <w:t xml:space="preserve"> SCADA | </w:t>
      </w:r>
      <w:proofErr w:type="spellStart"/>
      <w:r>
        <w:rPr>
          <w:rFonts w:ascii="Tahoma" w:hAnsi="Tahoma" w:cs="Tahoma"/>
          <w:szCs w:val="21"/>
        </w:rPr>
        <w:t>OpenWells</w:t>
      </w:r>
      <w:proofErr w:type="spellEnd"/>
      <w:r>
        <w:rPr>
          <w:rFonts w:ascii="Tahoma" w:hAnsi="Tahoma" w:cs="Tahoma"/>
          <w:szCs w:val="21"/>
        </w:rPr>
        <w:t xml:space="preserve"> | OFM | RODSTAR | ESP Surveillance Systems | Prosper | </w:t>
      </w:r>
      <w:proofErr w:type="spellStart"/>
      <w:r>
        <w:rPr>
          <w:rFonts w:ascii="Tahoma" w:hAnsi="Tahoma" w:cs="Tahoma"/>
          <w:szCs w:val="21"/>
        </w:rPr>
        <w:t>StimPlan</w:t>
      </w:r>
      <w:proofErr w:type="spellEnd"/>
      <w:r>
        <w:rPr>
          <w:rFonts w:ascii="Tahoma" w:hAnsi="Tahoma" w:cs="Tahoma"/>
          <w:szCs w:val="21"/>
        </w:rPr>
        <w:t xml:space="preserve"> | </w:t>
      </w:r>
      <w:r w:rsidR="009E615F">
        <w:rPr>
          <w:rFonts w:ascii="Tahoma" w:hAnsi="Tahoma" w:cs="Tahoma"/>
          <w:szCs w:val="21"/>
        </w:rPr>
        <w:t xml:space="preserve">GOHFER | </w:t>
      </w:r>
      <w:proofErr w:type="spellStart"/>
      <w:r w:rsidR="009E615F">
        <w:rPr>
          <w:rFonts w:ascii="Tahoma" w:hAnsi="Tahoma" w:cs="Tahoma"/>
          <w:szCs w:val="21"/>
        </w:rPr>
        <w:t>FracPro</w:t>
      </w:r>
      <w:proofErr w:type="spellEnd"/>
      <w:r w:rsidR="009E615F">
        <w:rPr>
          <w:rFonts w:ascii="Tahoma" w:hAnsi="Tahoma" w:cs="Tahoma"/>
          <w:szCs w:val="21"/>
        </w:rPr>
        <w:t xml:space="preserve"> | Petra | PEEP | SQL | SAP Databases | </w:t>
      </w:r>
      <w:proofErr w:type="gramStart"/>
      <w:r w:rsidR="009E615F">
        <w:rPr>
          <w:rFonts w:ascii="Tahoma" w:hAnsi="Tahoma" w:cs="Tahoma"/>
          <w:szCs w:val="21"/>
        </w:rPr>
        <w:t>Spotfire</w:t>
      </w:r>
      <w:proofErr w:type="gramEnd"/>
    </w:p>
    <w:p w14:paraId="17D25543" w14:textId="77777777" w:rsidR="009049AE" w:rsidRDefault="009049AE" w:rsidP="003B5584">
      <w:pPr>
        <w:spacing w:after="0" w:line="240" w:lineRule="auto"/>
        <w:rPr>
          <w:rFonts w:ascii="Tahoma" w:hAnsi="Tahoma" w:cs="Tahoma"/>
          <w:b/>
          <w:smallCaps/>
          <w:sz w:val="16"/>
          <w:szCs w:val="16"/>
        </w:rPr>
      </w:pPr>
    </w:p>
    <w:p w14:paraId="1C4DA12E" w14:textId="77777777" w:rsidR="003B5584" w:rsidRPr="00433B29" w:rsidRDefault="003B5584" w:rsidP="003B5584">
      <w:pPr>
        <w:spacing w:after="0" w:line="240" w:lineRule="auto"/>
        <w:rPr>
          <w:rFonts w:ascii="Tahoma" w:hAnsi="Tahoma" w:cs="Tahoma"/>
          <w:b/>
          <w:smallCaps/>
          <w:sz w:val="16"/>
          <w:szCs w:val="16"/>
        </w:rPr>
      </w:pPr>
    </w:p>
    <w:p w14:paraId="1FBD0BC4" w14:textId="4A8D7DF6" w:rsidR="00FC4F1B" w:rsidRPr="00D460D1" w:rsidRDefault="00FC4F1B" w:rsidP="00A7423E">
      <w:pP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28"/>
        </w:rPr>
      </w:pPr>
      <w:r w:rsidRPr="00D460D1">
        <w:rPr>
          <w:rFonts w:ascii="Tahoma" w:hAnsi="Tahoma" w:cs="Tahoma"/>
          <w:b/>
          <w:smallCaps/>
          <w:sz w:val="28"/>
          <w:szCs w:val="28"/>
        </w:rPr>
        <w:t>Education</w:t>
      </w:r>
    </w:p>
    <w:p w14:paraId="21CED0ED" w14:textId="70286C01" w:rsidR="004C5BAC" w:rsidRPr="003B5584" w:rsidRDefault="00A27B48" w:rsidP="003B5584">
      <w:pPr>
        <w:spacing w:after="0" w:line="240" w:lineRule="auto"/>
        <w:jc w:val="center"/>
        <w:rPr>
          <w:rFonts w:ascii="Tahoma" w:hAnsi="Tahoma" w:cs="Tahoma"/>
          <w:szCs w:val="21"/>
        </w:rPr>
      </w:pPr>
      <w:r w:rsidRPr="00D460D1">
        <w:rPr>
          <w:rFonts w:ascii="Tahoma" w:hAnsi="Tahoma" w:cs="Tahoma"/>
          <w:b/>
          <w:szCs w:val="21"/>
        </w:rPr>
        <w:t xml:space="preserve">Bachelor of Science in </w:t>
      </w:r>
      <w:r w:rsidR="00F154A3">
        <w:rPr>
          <w:rFonts w:ascii="Tahoma" w:hAnsi="Tahoma" w:cs="Tahoma"/>
          <w:b/>
          <w:szCs w:val="21"/>
        </w:rPr>
        <w:t>Chemical</w:t>
      </w:r>
      <w:r w:rsidRPr="00D460D1">
        <w:rPr>
          <w:rFonts w:ascii="Tahoma" w:hAnsi="Tahoma" w:cs="Tahoma"/>
          <w:b/>
          <w:szCs w:val="21"/>
        </w:rPr>
        <w:t xml:space="preserve"> Engineering</w:t>
      </w:r>
      <w:r w:rsidR="00402AD9" w:rsidRPr="00D460D1">
        <w:rPr>
          <w:rFonts w:ascii="Tahoma" w:hAnsi="Tahoma" w:cs="Tahoma"/>
          <w:szCs w:val="21"/>
        </w:rPr>
        <w:t xml:space="preserve">, </w:t>
      </w:r>
      <w:r w:rsidRPr="00D460D1">
        <w:rPr>
          <w:rFonts w:ascii="Tahoma" w:hAnsi="Tahoma" w:cs="Tahoma"/>
          <w:szCs w:val="21"/>
        </w:rPr>
        <w:t>Univer</w:t>
      </w:r>
      <w:r w:rsidR="003D15C9">
        <w:rPr>
          <w:rFonts w:ascii="Tahoma" w:hAnsi="Tahoma" w:cs="Tahoma"/>
          <w:szCs w:val="21"/>
        </w:rPr>
        <w:t>sity o</w:t>
      </w:r>
      <w:r w:rsidR="00F154A3">
        <w:rPr>
          <w:rFonts w:ascii="Tahoma" w:hAnsi="Tahoma" w:cs="Tahoma"/>
          <w:szCs w:val="21"/>
        </w:rPr>
        <w:t>f New Mexico, Albuquerque, NM</w:t>
      </w:r>
    </w:p>
    <w:sectPr w:rsidR="004C5BAC" w:rsidRPr="003B5584" w:rsidSect="00B07C22">
      <w:footerReference w:type="default" r:id="rId10"/>
      <w:pgSz w:w="12240" w:h="15840"/>
      <w:pgMar w:top="1008" w:right="1008" w:bottom="806" w:left="1008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23AB" w14:textId="77777777" w:rsidR="00B07C22" w:rsidRDefault="00B07C22" w:rsidP="009049AE">
      <w:pPr>
        <w:spacing w:after="0" w:line="240" w:lineRule="auto"/>
      </w:pPr>
      <w:r>
        <w:separator/>
      </w:r>
    </w:p>
  </w:endnote>
  <w:endnote w:type="continuationSeparator" w:id="0">
    <w:p w14:paraId="7A114245" w14:textId="77777777" w:rsidR="00B07C22" w:rsidRDefault="00B07C22" w:rsidP="0090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 Bold">
    <w:altName w:val="Tahoma"/>
    <w:panose1 w:val="020B0604020202020204"/>
    <w:charset w:val="00"/>
    <w:family w:val="auto"/>
    <w:pitch w:val="variable"/>
    <w:sig w:usb0="E1002A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010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88151" w14:textId="452E05E5" w:rsidR="009049AE" w:rsidRDefault="009049A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CFBC17" w14:textId="77777777" w:rsidR="009049AE" w:rsidRDefault="00904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53E7" w14:textId="77777777" w:rsidR="00B07C22" w:rsidRDefault="00B07C22" w:rsidP="009049AE">
      <w:pPr>
        <w:spacing w:after="0" w:line="240" w:lineRule="auto"/>
      </w:pPr>
      <w:r>
        <w:separator/>
      </w:r>
    </w:p>
  </w:footnote>
  <w:footnote w:type="continuationSeparator" w:id="0">
    <w:p w14:paraId="04FE3FFF" w14:textId="77777777" w:rsidR="00B07C22" w:rsidRDefault="00B07C22" w:rsidP="0090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4D5"/>
    <w:multiLevelType w:val="hybridMultilevel"/>
    <w:tmpl w:val="F948C1AE"/>
    <w:lvl w:ilvl="0" w:tplc="1B5C1042">
      <w:start w:val="1"/>
      <w:numFmt w:val="bullet"/>
      <w:lvlText w:val=""/>
      <w:lvlJc w:val="left"/>
      <w:pPr>
        <w:ind w:left="144" w:firstLine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B7EA3"/>
    <w:multiLevelType w:val="hybridMultilevel"/>
    <w:tmpl w:val="1A16FE72"/>
    <w:lvl w:ilvl="0" w:tplc="1FD0E7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F5F"/>
    <w:multiLevelType w:val="hybridMultilevel"/>
    <w:tmpl w:val="18723E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D671B"/>
    <w:multiLevelType w:val="hybridMultilevel"/>
    <w:tmpl w:val="86B087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FB3EAD"/>
    <w:multiLevelType w:val="hybridMultilevel"/>
    <w:tmpl w:val="0A06DB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F8215E"/>
    <w:multiLevelType w:val="hybridMultilevel"/>
    <w:tmpl w:val="515E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769F0"/>
    <w:multiLevelType w:val="hybridMultilevel"/>
    <w:tmpl w:val="E0D4B326"/>
    <w:lvl w:ilvl="0" w:tplc="281A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D2B"/>
    <w:multiLevelType w:val="hybridMultilevel"/>
    <w:tmpl w:val="75A6DADA"/>
    <w:lvl w:ilvl="0" w:tplc="9D6A7494">
      <w:numFmt w:val="bullet"/>
      <w:lvlText w:val="-"/>
      <w:lvlJc w:val="left"/>
      <w:pPr>
        <w:ind w:left="1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AF80391"/>
    <w:multiLevelType w:val="hybridMultilevel"/>
    <w:tmpl w:val="E8522E28"/>
    <w:lvl w:ilvl="0" w:tplc="281AEE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2B55CD6"/>
    <w:multiLevelType w:val="hybridMultilevel"/>
    <w:tmpl w:val="7ACC4D28"/>
    <w:lvl w:ilvl="0" w:tplc="281A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6136"/>
    <w:multiLevelType w:val="hybridMultilevel"/>
    <w:tmpl w:val="65BC5514"/>
    <w:lvl w:ilvl="0" w:tplc="1FD0E7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8A6"/>
    <w:multiLevelType w:val="hybridMultilevel"/>
    <w:tmpl w:val="D05A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B1695"/>
    <w:multiLevelType w:val="hybridMultilevel"/>
    <w:tmpl w:val="1F321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256519">
    <w:abstractNumId w:val="12"/>
  </w:num>
  <w:num w:numId="2" w16cid:durableId="1278096079">
    <w:abstractNumId w:val="7"/>
  </w:num>
  <w:num w:numId="3" w16cid:durableId="2054380825">
    <w:abstractNumId w:val="5"/>
  </w:num>
  <w:num w:numId="4" w16cid:durableId="166100248">
    <w:abstractNumId w:val="8"/>
  </w:num>
  <w:num w:numId="5" w16cid:durableId="36978924">
    <w:abstractNumId w:val="6"/>
  </w:num>
  <w:num w:numId="6" w16cid:durableId="1600990060">
    <w:abstractNumId w:val="1"/>
  </w:num>
  <w:num w:numId="7" w16cid:durableId="1704790688">
    <w:abstractNumId w:val="9"/>
  </w:num>
  <w:num w:numId="8" w16cid:durableId="592131659">
    <w:abstractNumId w:val="10"/>
  </w:num>
  <w:num w:numId="9" w16cid:durableId="1805150592">
    <w:abstractNumId w:val="11"/>
  </w:num>
  <w:num w:numId="10" w16cid:durableId="2110732363">
    <w:abstractNumId w:val="2"/>
  </w:num>
  <w:num w:numId="11" w16cid:durableId="185026810">
    <w:abstractNumId w:val="0"/>
  </w:num>
  <w:num w:numId="12" w16cid:durableId="1514417350">
    <w:abstractNumId w:val="3"/>
  </w:num>
  <w:num w:numId="13" w16cid:durableId="1596749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1B"/>
    <w:rsid w:val="00023C79"/>
    <w:rsid w:val="0003220A"/>
    <w:rsid w:val="00032857"/>
    <w:rsid w:val="00051981"/>
    <w:rsid w:val="000662E9"/>
    <w:rsid w:val="000768B0"/>
    <w:rsid w:val="0008232A"/>
    <w:rsid w:val="000A2CEF"/>
    <w:rsid w:val="00102B69"/>
    <w:rsid w:val="00112F15"/>
    <w:rsid w:val="00114074"/>
    <w:rsid w:val="00121454"/>
    <w:rsid w:val="00141507"/>
    <w:rsid w:val="00152187"/>
    <w:rsid w:val="00152A38"/>
    <w:rsid w:val="0016568C"/>
    <w:rsid w:val="00176CD2"/>
    <w:rsid w:val="00183210"/>
    <w:rsid w:val="001836A3"/>
    <w:rsid w:val="001A796F"/>
    <w:rsid w:val="001B5633"/>
    <w:rsid w:val="001C383A"/>
    <w:rsid w:val="002054B5"/>
    <w:rsid w:val="00206E21"/>
    <w:rsid w:val="00210FD4"/>
    <w:rsid w:val="00214B16"/>
    <w:rsid w:val="0021706D"/>
    <w:rsid w:val="00223B69"/>
    <w:rsid w:val="00265E04"/>
    <w:rsid w:val="0027257D"/>
    <w:rsid w:val="00273C17"/>
    <w:rsid w:val="00274969"/>
    <w:rsid w:val="00280D49"/>
    <w:rsid w:val="00294E97"/>
    <w:rsid w:val="00294E99"/>
    <w:rsid w:val="002A2AAC"/>
    <w:rsid w:val="002B0159"/>
    <w:rsid w:val="002B1470"/>
    <w:rsid w:val="002B2841"/>
    <w:rsid w:val="002E2F85"/>
    <w:rsid w:val="002E7DA0"/>
    <w:rsid w:val="00302076"/>
    <w:rsid w:val="00311F3C"/>
    <w:rsid w:val="00324B74"/>
    <w:rsid w:val="00341B70"/>
    <w:rsid w:val="00342296"/>
    <w:rsid w:val="00347952"/>
    <w:rsid w:val="00361E68"/>
    <w:rsid w:val="003666DC"/>
    <w:rsid w:val="0039019E"/>
    <w:rsid w:val="003A2888"/>
    <w:rsid w:val="003B5584"/>
    <w:rsid w:val="003B62FF"/>
    <w:rsid w:val="003C321F"/>
    <w:rsid w:val="003C5BE1"/>
    <w:rsid w:val="003D15C9"/>
    <w:rsid w:val="003D3957"/>
    <w:rsid w:val="003D4FA6"/>
    <w:rsid w:val="003D733D"/>
    <w:rsid w:val="003E0BDB"/>
    <w:rsid w:val="003E434C"/>
    <w:rsid w:val="003E4FBE"/>
    <w:rsid w:val="00402AD9"/>
    <w:rsid w:val="00415E94"/>
    <w:rsid w:val="004178F6"/>
    <w:rsid w:val="00433B29"/>
    <w:rsid w:val="00433DA0"/>
    <w:rsid w:val="00444980"/>
    <w:rsid w:val="00492A40"/>
    <w:rsid w:val="004A33CA"/>
    <w:rsid w:val="004C211B"/>
    <w:rsid w:val="004C5BAC"/>
    <w:rsid w:val="004C7ECD"/>
    <w:rsid w:val="004E3036"/>
    <w:rsid w:val="004E5CE0"/>
    <w:rsid w:val="004F53B0"/>
    <w:rsid w:val="00507A16"/>
    <w:rsid w:val="00522084"/>
    <w:rsid w:val="0052673F"/>
    <w:rsid w:val="00531E3A"/>
    <w:rsid w:val="0053499C"/>
    <w:rsid w:val="00537DDC"/>
    <w:rsid w:val="00543945"/>
    <w:rsid w:val="00552115"/>
    <w:rsid w:val="005527B6"/>
    <w:rsid w:val="00556968"/>
    <w:rsid w:val="00572B93"/>
    <w:rsid w:val="0057474E"/>
    <w:rsid w:val="005B3D78"/>
    <w:rsid w:val="005D1CAB"/>
    <w:rsid w:val="005D6D20"/>
    <w:rsid w:val="005D6DC0"/>
    <w:rsid w:val="0064400C"/>
    <w:rsid w:val="006506CB"/>
    <w:rsid w:val="00650D07"/>
    <w:rsid w:val="00662C55"/>
    <w:rsid w:val="00667FB1"/>
    <w:rsid w:val="00676467"/>
    <w:rsid w:val="00680C30"/>
    <w:rsid w:val="0069409C"/>
    <w:rsid w:val="006943F7"/>
    <w:rsid w:val="006A425B"/>
    <w:rsid w:val="006B3635"/>
    <w:rsid w:val="006C6E0C"/>
    <w:rsid w:val="006D09CE"/>
    <w:rsid w:val="006D1426"/>
    <w:rsid w:val="006E129C"/>
    <w:rsid w:val="006E28B2"/>
    <w:rsid w:val="006F3ACA"/>
    <w:rsid w:val="006F42A4"/>
    <w:rsid w:val="00716457"/>
    <w:rsid w:val="00723F1D"/>
    <w:rsid w:val="00732B73"/>
    <w:rsid w:val="00737D87"/>
    <w:rsid w:val="00752958"/>
    <w:rsid w:val="00770ADB"/>
    <w:rsid w:val="00774B2D"/>
    <w:rsid w:val="00780FAC"/>
    <w:rsid w:val="007953E8"/>
    <w:rsid w:val="007B06B8"/>
    <w:rsid w:val="007D33AA"/>
    <w:rsid w:val="00821912"/>
    <w:rsid w:val="00825BCC"/>
    <w:rsid w:val="00827890"/>
    <w:rsid w:val="00832E50"/>
    <w:rsid w:val="00843EE8"/>
    <w:rsid w:val="0087779E"/>
    <w:rsid w:val="00895927"/>
    <w:rsid w:val="008A57AA"/>
    <w:rsid w:val="008C1B79"/>
    <w:rsid w:val="00902E91"/>
    <w:rsid w:val="009049AE"/>
    <w:rsid w:val="00905281"/>
    <w:rsid w:val="00932025"/>
    <w:rsid w:val="00943993"/>
    <w:rsid w:val="00954BA1"/>
    <w:rsid w:val="00960CAB"/>
    <w:rsid w:val="00982F81"/>
    <w:rsid w:val="009976C7"/>
    <w:rsid w:val="009A0DA9"/>
    <w:rsid w:val="009A764B"/>
    <w:rsid w:val="009B12B1"/>
    <w:rsid w:val="009B23B9"/>
    <w:rsid w:val="009C53BF"/>
    <w:rsid w:val="009E3AD3"/>
    <w:rsid w:val="009E615F"/>
    <w:rsid w:val="00A05A86"/>
    <w:rsid w:val="00A14ADA"/>
    <w:rsid w:val="00A27B48"/>
    <w:rsid w:val="00A60776"/>
    <w:rsid w:val="00A62B92"/>
    <w:rsid w:val="00A70F98"/>
    <w:rsid w:val="00A7423E"/>
    <w:rsid w:val="00A7706A"/>
    <w:rsid w:val="00A7728E"/>
    <w:rsid w:val="00A80927"/>
    <w:rsid w:val="00A85ABC"/>
    <w:rsid w:val="00AB60E1"/>
    <w:rsid w:val="00AC31F0"/>
    <w:rsid w:val="00AD2F50"/>
    <w:rsid w:val="00B06E0D"/>
    <w:rsid w:val="00B0739F"/>
    <w:rsid w:val="00B07C22"/>
    <w:rsid w:val="00B45482"/>
    <w:rsid w:val="00B57DF4"/>
    <w:rsid w:val="00B713BB"/>
    <w:rsid w:val="00B97069"/>
    <w:rsid w:val="00BB02E6"/>
    <w:rsid w:val="00BC7B2F"/>
    <w:rsid w:val="00BD7B8E"/>
    <w:rsid w:val="00BE1DFA"/>
    <w:rsid w:val="00BE70A1"/>
    <w:rsid w:val="00BF5294"/>
    <w:rsid w:val="00C1302C"/>
    <w:rsid w:val="00C24410"/>
    <w:rsid w:val="00C3116B"/>
    <w:rsid w:val="00C33395"/>
    <w:rsid w:val="00C33A82"/>
    <w:rsid w:val="00C533E3"/>
    <w:rsid w:val="00C71E3A"/>
    <w:rsid w:val="00C86C09"/>
    <w:rsid w:val="00CA4A12"/>
    <w:rsid w:val="00CA75A4"/>
    <w:rsid w:val="00CB22B3"/>
    <w:rsid w:val="00CB303E"/>
    <w:rsid w:val="00CD159A"/>
    <w:rsid w:val="00CE4824"/>
    <w:rsid w:val="00CE5EEB"/>
    <w:rsid w:val="00CE6EC0"/>
    <w:rsid w:val="00D126F4"/>
    <w:rsid w:val="00D17AD1"/>
    <w:rsid w:val="00D460D1"/>
    <w:rsid w:val="00D56DBF"/>
    <w:rsid w:val="00D75EBD"/>
    <w:rsid w:val="00D76778"/>
    <w:rsid w:val="00D76C25"/>
    <w:rsid w:val="00DA3C02"/>
    <w:rsid w:val="00DC2D2F"/>
    <w:rsid w:val="00DC6CD8"/>
    <w:rsid w:val="00DF3159"/>
    <w:rsid w:val="00E00719"/>
    <w:rsid w:val="00E20636"/>
    <w:rsid w:val="00E20800"/>
    <w:rsid w:val="00E20F65"/>
    <w:rsid w:val="00E2591C"/>
    <w:rsid w:val="00E27F53"/>
    <w:rsid w:val="00E3546B"/>
    <w:rsid w:val="00E46EA7"/>
    <w:rsid w:val="00E5077F"/>
    <w:rsid w:val="00E519EC"/>
    <w:rsid w:val="00E55FFC"/>
    <w:rsid w:val="00E63F21"/>
    <w:rsid w:val="00E6669C"/>
    <w:rsid w:val="00E72429"/>
    <w:rsid w:val="00E85D5F"/>
    <w:rsid w:val="00E90378"/>
    <w:rsid w:val="00EB4102"/>
    <w:rsid w:val="00EC540D"/>
    <w:rsid w:val="00ED2791"/>
    <w:rsid w:val="00EE075D"/>
    <w:rsid w:val="00EE6E5D"/>
    <w:rsid w:val="00F0049C"/>
    <w:rsid w:val="00F00EE7"/>
    <w:rsid w:val="00F02387"/>
    <w:rsid w:val="00F154A3"/>
    <w:rsid w:val="00F2481F"/>
    <w:rsid w:val="00F636CC"/>
    <w:rsid w:val="00F67B25"/>
    <w:rsid w:val="00F84D21"/>
    <w:rsid w:val="00FB5DDF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516F"/>
  <w15:docId w15:val="{AF1DB18E-F8C1-4EE8-BF06-394B1594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F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F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FC4F1B"/>
    <w:pPr>
      <w:ind w:left="720"/>
      <w:contextualSpacing/>
    </w:pPr>
  </w:style>
  <w:style w:type="table" w:styleId="TableGrid">
    <w:name w:val="Table Grid"/>
    <w:basedOn w:val="TableNormal"/>
    <w:rsid w:val="00A7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A7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BF529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F31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6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E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4A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9AE"/>
  </w:style>
  <w:style w:type="paragraph" w:styleId="Footer">
    <w:name w:val="footer"/>
    <w:basedOn w:val="Normal"/>
    <w:link w:val="FooterChar"/>
    <w:uiPriority w:val="99"/>
    <w:unhideWhenUsed/>
    <w:rsid w:val="00904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9AE"/>
  </w:style>
  <w:style w:type="character" w:styleId="FollowedHyperlink">
    <w:name w:val="FollowedHyperlink"/>
    <w:basedOn w:val="DefaultParagraphFont"/>
    <w:uiPriority w:val="99"/>
    <w:semiHidden/>
    <w:unhideWhenUsed/>
    <w:rsid w:val="00E55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ike-mohrma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ke@mymohrman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277A-376F-486E-BC37-708ACEB4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land</dc:creator>
  <cp:keywords/>
  <dc:description/>
  <cp:lastModifiedBy>Mike Mohrmann</cp:lastModifiedBy>
  <cp:revision>4</cp:revision>
  <cp:lastPrinted>2024-04-22T21:18:00Z</cp:lastPrinted>
  <dcterms:created xsi:type="dcterms:W3CDTF">2024-04-23T20:41:00Z</dcterms:created>
  <dcterms:modified xsi:type="dcterms:W3CDTF">2024-04-23T20:43:00Z</dcterms:modified>
</cp:coreProperties>
</file>