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  <w:gridCol w:w="5688"/>
      </w:tblGrid>
      <w:tr w:rsidR="007E5D2A" w:rsidRPr="009E35D5" w14:paraId="5503AD60" w14:textId="77777777" w:rsidTr="00FA3E2B">
        <w:tc>
          <w:tcPr>
            <w:tcW w:w="5400" w:type="dxa"/>
          </w:tcPr>
          <w:p w14:paraId="0649451B" w14:textId="04E607C3" w:rsidR="007E5D2A" w:rsidRPr="009E35D5" w:rsidRDefault="0071404D" w:rsidP="004161D9">
            <w:pPr>
              <w:pStyle w:val="Title"/>
              <w:rPr>
                <w:rFonts w:asciiTheme="minorHAnsi" w:hAnsiTheme="minorHAnsi" w:cstheme="minorHAnsi"/>
                <w:color w:val="294433"/>
              </w:rPr>
            </w:pPr>
            <w:r w:rsidRPr="00786114">
              <w:rPr>
                <w:rFonts w:asciiTheme="minorHAnsi" w:hAnsiTheme="minorHAnsi" w:cstheme="minorHAnsi"/>
                <w:color w:val="294433"/>
              </w:rPr>
              <w:t xml:space="preserve"> </w:t>
            </w:r>
            <w:r w:rsidR="003B3045" w:rsidRPr="009E35D5">
              <w:rPr>
                <w:rFonts w:asciiTheme="minorHAnsi" w:hAnsiTheme="minorHAnsi" w:cstheme="minorHAnsi"/>
                <w:color w:val="294433"/>
              </w:rPr>
              <w:t>Ketan Patel</w:t>
            </w:r>
          </w:p>
          <w:p w14:paraId="43ECDF32" w14:textId="1B23A94B" w:rsidR="001A55C1" w:rsidRPr="009E35D5" w:rsidRDefault="001A55C1" w:rsidP="004161D9">
            <w:pPr>
              <w:pStyle w:val="Subtitle"/>
              <w:rPr>
                <w:rFonts w:asciiTheme="minorHAnsi" w:hAnsiTheme="minorHAnsi" w:cstheme="minorHAnsi"/>
                <w:color w:val="294433"/>
              </w:rPr>
            </w:pPr>
          </w:p>
        </w:tc>
        <w:tc>
          <w:tcPr>
            <w:tcW w:w="5400" w:type="dxa"/>
          </w:tcPr>
          <w:p w14:paraId="713B5874" w14:textId="5BB5C2C5" w:rsidR="007E5D2A" w:rsidRPr="009E35D5" w:rsidRDefault="003379D4" w:rsidP="004161D9">
            <w:pPr>
              <w:pStyle w:val="ContactInfo"/>
              <w:rPr>
                <w:rFonts w:asciiTheme="minorHAnsi" w:hAnsiTheme="minorHAnsi" w:cstheme="minorHAnsi"/>
                <w:color w:val="294433"/>
              </w:rPr>
            </w:pPr>
            <w:r w:rsidRPr="009E35D5">
              <w:rPr>
                <w:rFonts w:asciiTheme="minorHAnsi" w:hAnsiTheme="minorHAnsi" w:cstheme="minorHAnsi"/>
                <w:color w:val="294433"/>
              </w:rPr>
              <w:t>keetspatel@gmail.com</w:t>
            </w:r>
            <w:r w:rsidR="007E5D2A" w:rsidRPr="009E35D5">
              <w:rPr>
                <w:rFonts w:asciiTheme="minorHAnsi" w:hAnsiTheme="minorHAnsi" w:cstheme="minorHAnsi"/>
                <w:color w:val="294433"/>
              </w:rPr>
              <w:t xml:space="preserve"> • </w:t>
            </w:r>
            <w:r w:rsidR="004569A0" w:rsidRPr="009E35D5">
              <w:rPr>
                <w:rFonts w:asciiTheme="minorHAnsi" w:hAnsiTheme="minorHAnsi" w:cstheme="minorHAnsi"/>
                <w:color w:val="294433"/>
              </w:rPr>
              <w:t>(713) 822-2153</w:t>
            </w:r>
          </w:p>
          <w:p w14:paraId="4394BA28" w14:textId="7597C635" w:rsidR="007E5D2A" w:rsidRPr="009E35D5" w:rsidRDefault="000B0A0B" w:rsidP="004161D9">
            <w:pPr>
              <w:pStyle w:val="ContactInfo"/>
              <w:rPr>
                <w:rFonts w:asciiTheme="minorHAnsi" w:hAnsiTheme="minorHAnsi" w:cstheme="minorHAnsi"/>
                <w:color w:val="294433"/>
              </w:rPr>
            </w:pPr>
            <w:hyperlink r:id="rId8" w:history="1">
              <w:r w:rsidRPr="009E35D5">
                <w:rPr>
                  <w:rStyle w:val="Hyperlink"/>
                  <w:rFonts w:asciiTheme="minorHAnsi" w:hAnsiTheme="minorHAnsi" w:cstheme="minorHAnsi"/>
                </w:rPr>
                <w:t>L</w:t>
              </w:r>
              <w:r w:rsidR="007E5D2A" w:rsidRPr="009E35D5">
                <w:rPr>
                  <w:rStyle w:val="Hyperlink"/>
                  <w:rFonts w:asciiTheme="minorHAnsi" w:hAnsiTheme="minorHAnsi" w:cstheme="minorHAnsi"/>
                </w:rPr>
                <w:t>inked</w:t>
              </w:r>
              <w:r w:rsidRPr="009E35D5">
                <w:rPr>
                  <w:rStyle w:val="Hyperlink"/>
                  <w:rFonts w:asciiTheme="minorHAnsi" w:hAnsiTheme="minorHAnsi" w:cstheme="minorHAnsi"/>
                </w:rPr>
                <w:t>I</w:t>
              </w:r>
              <w:r w:rsidR="007E5D2A" w:rsidRPr="009E35D5">
                <w:rPr>
                  <w:rStyle w:val="Hyperlink"/>
                  <w:rFonts w:asciiTheme="minorHAnsi" w:hAnsiTheme="minorHAnsi" w:cstheme="minorHAnsi"/>
                </w:rPr>
                <w:t>n</w:t>
              </w:r>
            </w:hyperlink>
            <w:r w:rsidR="007E5D2A" w:rsidRPr="009E35D5">
              <w:rPr>
                <w:rFonts w:asciiTheme="minorHAnsi" w:hAnsiTheme="minorHAnsi" w:cstheme="minorHAnsi"/>
                <w:color w:val="294433"/>
              </w:rPr>
              <w:t xml:space="preserve"> • </w:t>
            </w:r>
            <w:r w:rsidR="00EB736F" w:rsidRPr="009E35D5">
              <w:rPr>
                <w:rFonts w:asciiTheme="minorHAnsi" w:hAnsiTheme="minorHAnsi" w:cstheme="minorHAnsi"/>
                <w:color w:val="294433"/>
              </w:rPr>
              <w:t>Houston,</w:t>
            </w:r>
            <w:r w:rsidR="003B1C2C" w:rsidRPr="009E35D5">
              <w:rPr>
                <w:rFonts w:asciiTheme="minorHAnsi" w:hAnsiTheme="minorHAnsi" w:cstheme="minorHAnsi"/>
                <w:color w:val="294433"/>
              </w:rPr>
              <w:t xml:space="preserve"> </w:t>
            </w:r>
            <w:r w:rsidR="00EB736F" w:rsidRPr="009E35D5">
              <w:rPr>
                <w:rFonts w:asciiTheme="minorHAnsi" w:hAnsiTheme="minorHAnsi" w:cstheme="minorHAnsi"/>
                <w:color w:val="294433"/>
              </w:rPr>
              <w:t>T</w:t>
            </w:r>
            <w:r w:rsidR="004C7AE0" w:rsidRPr="009E35D5">
              <w:rPr>
                <w:rFonts w:asciiTheme="minorHAnsi" w:hAnsiTheme="minorHAnsi" w:cstheme="minorHAnsi"/>
                <w:color w:val="294433"/>
              </w:rPr>
              <w:t>X</w:t>
            </w:r>
            <w:r w:rsidR="004B03A8" w:rsidRPr="009E35D5">
              <w:rPr>
                <w:rFonts w:asciiTheme="minorHAnsi" w:hAnsiTheme="minorHAnsi" w:cstheme="minorHAnsi"/>
                <w:color w:val="294433"/>
              </w:rPr>
              <w:t xml:space="preserve"> </w:t>
            </w:r>
            <w:r w:rsidR="00E03BD1" w:rsidRPr="009E35D5">
              <w:rPr>
                <w:rFonts w:asciiTheme="minorHAnsi" w:hAnsiTheme="minorHAnsi" w:cstheme="minorHAnsi"/>
                <w:color w:val="294433"/>
              </w:rPr>
              <w:t>77386</w:t>
            </w:r>
            <w:r w:rsidR="003B1C2C" w:rsidRPr="009E35D5">
              <w:rPr>
                <w:rFonts w:asciiTheme="minorHAnsi" w:hAnsiTheme="minorHAnsi" w:cstheme="minorHAnsi"/>
                <w:color w:val="294433"/>
              </w:rPr>
              <w:t xml:space="preserve">| </w:t>
            </w:r>
            <w:r w:rsidR="003B1C2C" w:rsidRPr="009E35D5">
              <w:rPr>
                <w:rFonts w:asciiTheme="minorHAnsi" w:hAnsiTheme="minorHAnsi" w:cstheme="minorHAnsi"/>
                <w:b/>
                <w:bCs/>
                <w:color w:val="294433"/>
              </w:rPr>
              <w:t xml:space="preserve">US </w:t>
            </w:r>
            <w:r w:rsidR="00260264">
              <w:rPr>
                <w:rFonts w:asciiTheme="minorHAnsi" w:hAnsiTheme="minorHAnsi" w:cstheme="minorHAnsi"/>
                <w:b/>
                <w:bCs/>
                <w:color w:val="294433"/>
              </w:rPr>
              <w:t xml:space="preserve">Citizen </w:t>
            </w:r>
          </w:p>
          <w:p w14:paraId="0CBD4B70" w14:textId="690133EA" w:rsidR="003B1C2C" w:rsidRPr="009E35D5" w:rsidRDefault="003B1C2C" w:rsidP="004161D9">
            <w:pPr>
              <w:pStyle w:val="ContactInfo"/>
              <w:rPr>
                <w:rFonts w:asciiTheme="minorHAnsi" w:hAnsiTheme="minorHAnsi" w:cstheme="minorHAnsi"/>
              </w:rPr>
            </w:pPr>
          </w:p>
        </w:tc>
      </w:tr>
    </w:tbl>
    <w:p w14:paraId="422258A5" w14:textId="565C7E31" w:rsidR="001A55C1" w:rsidRPr="009E35D5" w:rsidRDefault="00876593" w:rsidP="00FF27DE">
      <w:pPr>
        <w:pStyle w:val="SectionHeading"/>
        <w:spacing w:before="0" w:after="0"/>
        <w:jc w:val="center"/>
        <w:rPr>
          <w:rFonts w:asciiTheme="minorHAnsi" w:hAnsiTheme="minorHAnsi" w:cstheme="minorHAnsi"/>
          <w:color w:val="294433"/>
        </w:rPr>
      </w:pPr>
      <w:r w:rsidRPr="009E35D5">
        <w:rPr>
          <w:rFonts w:asciiTheme="minorHAnsi" w:eastAsia="Calibr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2A174" wp14:editId="39917E37">
                <wp:simplePos x="0" y="0"/>
                <wp:positionH relativeFrom="page">
                  <wp:align>right</wp:align>
                </wp:positionH>
                <wp:positionV relativeFrom="paragraph">
                  <wp:posOffset>-1142789</wp:posOffset>
                </wp:positionV>
                <wp:extent cx="8043334" cy="397933"/>
                <wp:effectExtent l="0" t="0" r="1524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43334" cy="397933"/>
                        </a:xfrm>
                        <a:prstGeom prst="rect">
                          <a:avLst/>
                        </a:prstGeom>
                        <a:solidFill>
                          <a:srgbClr val="294433"/>
                        </a:solidFill>
                        <a:ln w="12700" cap="flat" cmpd="sng" algn="ctr">
                          <a:solidFill>
                            <a:srgbClr val="0F55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639E5" id="Rectangle 1" o:spid="_x0000_s1026" style="position:absolute;margin-left:582.15pt;margin-top:-90pt;width:633.35pt;height:31.35pt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" fillcolor="#294433" strokecolor="#0f5581" strokeweight="1pt">
                <w10:wrap anchorx="page"/>
              </v:rect>
            </w:pict>
          </mc:Fallback>
        </mc:AlternateContent>
      </w:r>
      <w:r w:rsidR="00FA3E2B" w:rsidRPr="009E35D5">
        <w:rPr>
          <w:rFonts w:asciiTheme="minorHAnsi" w:hAnsiTheme="minorHAnsi" w:cstheme="minorHAnsi"/>
          <w:color w:val="294433"/>
        </w:rPr>
        <w:t>Supply Chain</w:t>
      </w:r>
      <w:r w:rsidR="009139EC" w:rsidRPr="009E35D5">
        <w:rPr>
          <w:rFonts w:asciiTheme="minorHAnsi" w:hAnsiTheme="minorHAnsi" w:cstheme="minorHAnsi"/>
          <w:color w:val="294433"/>
        </w:rPr>
        <w:t xml:space="preserve"> and Operations</w:t>
      </w:r>
      <w:r w:rsidR="00FA3E2B" w:rsidRPr="009E35D5">
        <w:rPr>
          <w:rFonts w:asciiTheme="minorHAnsi" w:hAnsiTheme="minorHAnsi" w:cstheme="minorHAnsi"/>
          <w:color w:val="294433"/>
        </w:rPr>
        <w:t xml:space="preserve"> Management</w:t>
      </w:r>
    </w:p>
    <w:p w14:paraId="7E8DE7CA" w14:textId="3D12448D" w:rsidR="00284961" w:rsidRPr="009E35D5" w:rsidRDefault="00284961" w:rsidP="00FF27DE">
      <w:pPr>
        <w:jc w:val="center"/>
        <w:rPr>
          <w:rFonts w:cstheme="minorHAnsi"/>
          <w:b/>
          <w:bCs/>
          <w:sz w:val="20"/>
          <w:szCs w:val="20"/>
        </w:rPr>
      </w:pPr>
      <w:r w:rsidRPr="009E35D5">
        <w:rPr>
          <w:rFonts w:cstheme="minorHAnsi"/>
          <w:b/>
          <w:bCs/>
          <w:i/>
          <w:iCs/>
          <w:sz w:val="20"/>
          <w:szCs w:val="20"/>
        </w:rPr>
        <w:t xml:space="preserve">Accomplished strategic leader optimizing </w:t>
      </w:r>
      <w:r w:rsidR="009139EC" w:rsidRPr="009E35D5">
        <w:rPr>
          <w:rFonts w:cstheme="minorHAnsi"/>
          <w:b/>
          <w:bCs/>
          <w:i/>
          <w:iCs/>
          <w:sz w:val="20"/>
          <w:szCs w:val="20"/>
        </w:rPr>
        <w:t xml:space="preserve">operations and </w:t>
      </w:r>
      <w:r w:rsidRPr="009E35D5">
        <w:rPr>
          <w:rFonts w:cstheme="minorHAnsi"/>
          <w:b/>
          <w:bCs/>
          <w:i/>
          <w:iCs/>
          <w:sz w:val="20"/>
          <w:szCs w:val="20"/>
        </w:rPr>
        <w:t>global supply chain, driving efficiency, result driven with a track record of leading high-performing teams and fostering innovation for enhanced productivity and profitability</w:t>
      </w:r>
      <w:r w:rsidRPr="009E35D5">
        <w:rPr>
          <w:rFonts w:cstheme="minorHAnsi"/>
          <w:b/>
          <w:bCs/>
          <w:sz w:val="20"/>
          <w:szCs w:val="20"/>
        </w:rPr>
        <w:t>.</w:t>
      </w:r>
    </w:p>
    <w:p w14:paraId="065D6761" w14:textId="77777777" w:rsidR="00FF27DE" w:rsidRPr="009E35D5" w:rsidRDefault="00FF27DE" w:rsidP="00FF27DE">
      <w:pPr>
        <w:jc w:val="center"/>
        <w:rPr>
          <w:rFonts w:cstheme="minorHAnsi"/>
          <w:b/>
          <w:bCs/>
          <w:sz w:val="20"/>
          <w:szCs w:val="20"/>
        </w:rPr>
      </w:pPr>
    </w:p>
    <w:p w14:paraId="2C842EE6" w14:textId="63D23037" w:rsidR="006D27DF" w:rsidRPr="00D7544B" w:rsidRDefault="006D27DF" w:rsidP="006D27DF">
      <w:pPr>
        <w:spacing w:after="160" w:line="278" w:lineRule="auto"/>
        <w:rPr>
          <w:rFonts w:cstheme="minorHAnsi"/>
          <w:spacing w:val="-2"/>
          <w:sz w:val="20"/>
          <w:szCs w:val="20"/>
        </w:rPr>
      </w:pPr>
      <w:r w:rsidRPr="00D7544B">
        <w:rPr>
          <w:rFonts w:cstheme="minorHAnsi"/>
          <w:spacing w:val="-2"/>
          <w:sz w:val="20"/>
          <w:szCs w:val="20"/>
        </w:rPr>
        <w:t>Results-driven supply chain executive with 25+ years of leadership experience in global procurement, supply chain transformation, cost optimization,</w:t>
      </w:r>
      <w:r w:rsidR="00332DD2">
        <w:rPr>
          <w:rFonts w:cstheme="minorHAnsi"/>
          <w:spacing w:val="-2"/>
          <w:sz w:val="20"/>
          <w:szCs w:val="20"/>
        </w:rPr>
        <w:t xml:space="preserve"> </w:t>
      </w:r>
      <w:r w:rsidR="00425F95">
        <w:rPr>
          <w:rFonts w:cstheme="minorHAnsi"/>
          <w:spacing w:val="-2"/>
          <w:sz w:val="20"/>
          <w:szCs w:val="20"/>
        </w:rPr>
        <w:t>o</w:t>
      </w:r>
      <w:r w:rsidR="00332DD2">
        <w:rPr>
          <w:rFonts w:cstheme="minorHAnsi"/>
          <w:spacing w:val="-2"/>
          <w:sz w:val="20"/>
          <w:szCs w:val="20"/>
        </w:rPr>
        <w:t xml:space="preserve">perations, </w:t>
      </w:r>
      <w:r w:rsidR="00425F95">
        <w:rPr>
          <w:rFonts w:cstheme="minorHAnsi"/>
          <w:spacing w:val="-2"/>
          <w:sz w:val="20"/>
          <w:szCs w:val="20"/>
        </w:rPr>
        <w:t>a</w:t>
      </w:r>
      <w:r w:rsidR="00332DD2">
        <w:rPr>
          <w:rFonts w:cstheme="minorHAnsi"/>
          <w:spacing w:val="-2"/>
          <w:sz w:val="20"/>
          <w:szCs w:val="20"/>
        </w:rPr>
        <w:t>ccounting</w:t>
      </w:r>
      <w:r w:rsidRPr="00D7544B">
        <w:rPr>
          <w:rFonts w:cstheme="minorHAnsi"/>
          <w:spacing w:val="-2"/>
          <w:sz w:val="20"/>
          <w:szCs w:val="20"/>
        </w:rPr>
        <w:t xml:space="preserve"> and technology integration within the oil &amp; </w:t>
      </w:r>
      <w:r w:rsidR="00402924" w:rsidRPr="00D7544B">
        <w:rPr>
          <w:rFonts w:cstheme="minorHAnsi"/>
          <w:spacing w:val="-2"/>
          <w:sz w:val="20"/>
          <w:szCs w:val="20"/>
        </w:rPr>
        <w:t>gas, and</w:t>
      </w:r>
      <w:r w:rsidRPr="00D7544B">
        <w:rPr>
          <w:rFonts w:cstheme="minorHAnsi"/>
          <w:spacing w:val="-2"/>
          <w:sz w:val="20"/>
          <w:szCs w:val="20"/>
        </w:rPr>
        <w:t xml:space="preserve"> manufacturing sectors. Proven expertise in strategic transformation, digital procurement, sustainability initiatives, and supplier risk management. Adept at leading cross-functional teams, leveraging data-driven decision-making, and aligning procurement strategies with corporate sustainability goals</w:t>
      </w:r>
      <w:r w:rsidR="00402924">
        <w:rPr>
          <w:rFonts w:cstheme="minorHAnsi"/>
          <w:spacing w:val="-2"/>
          <w:sz w:val="20"/>
          <w:szCs w:val="20"/>
        </w:rPr>
        <w:t xml:space="preserve">. </w:t>
      </w:r>
      <w:r w:rsidR="00EF628B" w:rsidRPr="009E35D5">
        <w:rPr>
          <w:rFonts w:cstheme="minorHAnsi"/>
          <w:spacing w:val="-2"/>
          <w:sz w:val="20"/>
          <w:szCs w:val="20"/>
        </w:rPr>
        <w:t>Expert in integrating financial insights, such as planning, forecasting, P&amp;L performance, inventory, cash flow, into strategic decision-making. Recognized for effective communication with C-level members, Executive Leaders, and VP</w:t>
      </w:r>
      <w:r w:rsidR="009F6871">
        <w:rPr>
          <w:rFonts w:cstheme="minorHAnsi"/>
          <w:spacing w:val="-2"/>
          <w:sz w:val="20"/>
          <w:szCs w:val="20"/>
        </w:rPr>
        <w:t>.</w:t>
      </w:r>
    </w:p>
    <w:p w14:paraId="463D0E1D" w14:textId="048F81DF" w:rsidR="007E5D2A" w:rsidRPr="009E35D5" w:rsidRDefault="007E5D2A" w:rsidP="00FF27DE">
      <w:pPr>
        <w:pStyle w:val="SectionHeading"/>
        <w:spacing w:before="0" w:after="0"/>
        <w:rPr>
          <w:rFonts w:ascii="Franklin Gothic Book" w:hAnsi="Franklin Gothic Book" w:cstheme="minorHAnsi"/>
          <w:color w:val="294433"/>
          <w:sz w:val="26"/>
          <w:szCs w:val="26"/>
        </w:rPr>
      </w:pPr>
      <w:r w:rsidRPr="009E35D5">
        <w:rPr>
          <w:rFonts w:asciiTheme="minorHAnsi" w:hAnsiTheme="minorHAnsi" w:cstheme="minorHAnsi"/>
          <w:color w:val="294433"/>
          <w:sz w:val="26"/>
          <w:szCs w:val="26"/>
        </w:rPr>
        <w:t>Areas of Expertise</w:t>
      </w:r>
    </w:p>
    <w:tbl>
      <w:tblPr>
        <w:tblStyle w:val="TableGrid"/>
        <w:tblW w:w="4748" w:type="pc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930"/>
        <w:gridCol w:w="3278"/>
      </w:tblGrid>
      <w:tr w:rsidR="007E5D2A" w:rsidRPr="009E35D5" w14:paraId="5362C7A0" w14:textId="77777777" w:rsidTr="00D01ACB">
        <w:trPr>
          <w:trHeight w:val="973"/>
        </w:trPr>
        <w:tc>
          <w:tcPr>
            <w:tcW w:w="1664" w:type="pct"/>
          </w:tcPr>
          <w:p w14:paraId="725A0E78" w14:textId="77777777" w:rsidR="002738AE" w:rsidRPr="009F6871" w:rsidRDefault="002738AE" w:rsidP="002738AE">
            <w:pPr>
              <w:pStyle w:val="AoEBullet"/>
            </w:pPr>
            <w:r w:rsidRPr="009F6871">
              <w:t>S&amp;OP+ &amp; Demand Planning</w:t>
            </w:r>
          </w:p>
          <w:p w14:paraId="110B5371" w14:textId="4D2B16E0" w:rsidR="008D51A8" w:rsidRPr="009F6871" w:rsidRDefault="008D51A8" w:rsidP="002738AE">
            <w:pPr>
              <w:pStyle w:val="AoEBullet"/>
            </w:pPr>
            <w:r w:rsidRPr="009F6871">
              <w:t xml:space="preserve">Global Supply Chain </w:t>
            </w:r>
            <w:r w:rsidR="002738AE" w:rsidRPr="009F6871">
              <w:t>Leadership</w:t>
            </w:r>
          </w:p>
          <w:p w14:paraId="7A8CD357" w14:textId="77777777" w:rsidR="008D51A8" w:rsidRPr="009F6871" w:rsidRDefault="008D51A8" w:rsidP="002738AE">
            <w:pPr>
              <w:pStyle w:val="AoEBullet"/>
            </w:pPr>
            <w:r w:rsidRPr="009F6871">
              <w:t>Supplier Performance &amp; Relationship Management</w:t>
            </w:r>
          </w:p>
          <w:p w14:paraId="0794A0C7" w14:textId="77777777" w:rsidR="008D51A8" w:rsidRPr="009F6871" w:rsidRDefault="008D51A8" w:rsidP="002738AE">
            <w:pPr>
              <w:pStyle w:val="AoEBullet"/>
            </w:pPr>
            <w:r w:rsidRPr="009F6871">
              <w:t>Risk Management &amp; Regulatory Compliance</w:t>
            </w:r>
          </w:p>
          <w:p w14:paraId="70BE6225" w14:textId="77777777" w:rsidR="002738AE" w:rsidRPr="009F6871" w:rsidRDefault="002738AE" w:rsidP="002738AE">
            <w:pPr>
              <w:pStyle w:val="AoEBullet"/>
            </w:pPr>
            <w:r w:rsidRPr="009F6871">
              <w:t>Inventory &amp; Procurement Optimization</w:t>
            </w:r>
          </w:p>
          <w:p w14:paraId="3F2A52ED" w14:textId="2BD41762" w:rsidR="00082DD3" w:rsidRPr="009F6871" w:rsidRDefault="00082DD3" w:rsidP="00E31042">
            <w:pPr>
              <w:pStyle w:val="AoEBullet"/>
              <w:numPr>
                <w:ilvl w:val="0"/>
                <w:numId w:val="0"/>
              </w:numPr>
              <w:ind w:left="255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9" w:type="pct"/>
          </w:tcPr>
          <w:p w14:paraId="3FC956F9" w14:textId="77777777" w:rsidR="002738AE" w:rsidRPr="009F6871" w:rsidRDefault="002738AE" w:rsidP="002738AE">
            <w:pPr>
              <w:pStyle w:val="AoEBullet"/>
            </w:pPr>
            <w:r w:rsidRPr="009F6871">
              <w:t>Manufacturing &amp; Operations Alignment</w:t>
            </w:r>
          </w:p>
          <w:p w14:paraId="2AC4AACB" w14:textId="77777777" w:rsidR="009C5C77" w:rsidRPr="009F6871" w:rsidRDefault="009C5C77" w:rsidP="002738AE">
            <w:pPr>
              <w:pStyle w:val="AoEBullet"/>
            </w:pPr>
            <w:r w:rsidRPr="009F6871">
              <w:t>ERP Systems (SAP S4 Hana, Ariba, Oracle)</w:t>
            </w:r>
          </w:p>
          <w:p w14:paraId="2DED0C2D" w14:textId="77777777" w:rsidR="002738AE" w:rsidRPr="009F6871" w:rsidRDefault="002738AE" w:rsidP="002738AE">
            <w:pPr>
              <w:pStyle w:val="AoEBullet"/>
            </w:pPr>
            <w:r w:rsidRPr="009F6871">
              <w:t>International Business &amp; Supply Chain</w:t>
            </w:r>
          </w:p>
          <w:p w14:paraId="7AF9D606" w14:textId="77777777" w:rsidR="008D51A8" w:rsidRPr="009F6871" w:rsidRDefault="008D51A8" w:rsidP="002738AE">
            <w:pPr>
              <w:pStyle w:val="AoEBullet"/>
            </w:pPr>
            <w:r w:rsidRPr="009F6871">
              <w:t>Digital Transformation &amp; Automation</w:t>
            </w:r>
          </w:p>
          <w:p w14:paraId="31AD5309" w14:textId="77777777" w:rsidR="008D51A8" w:rsidRPr="009F6871" w:rsidRDefault="008D51A8" w:rsidP="002738AE">
            <w:pPr>
              <w:pStyle w:val="AoEBullet"/>
            </w:pPr>
            <w:r w:rsidRPr="009F6871">
              <w:t>Supplier Relationship &amp; Contract Negotiation</w:t>
            </w:r>
          </w:p>
          <w:p w14:paraId="7E875C74" w14:textId="77777777" w:rsidR="002738AE" w:rsidRPr="009F6871" w:rsidRDefault="002738AE" w:rsidP="002738AE">
            <w:pPr>
              <w:pStyle w:val="AoEBullet"/>
            </w:pPr>
            <w:r w:rsidRPr="009F6871">
              <w:t>Cost Reduction &amp; Process Improvement</w:t>
            </w:r>
          </w:p>
          <w:p w14:paraId="6664B0B5" w14:textId="0DD461C4" w:rsidR="008462EE" w:rsidRPr="009F6871" w:rsidRDefault="008462EE" w:rsidP="002738AE">
            <w:pPr>
              <w:pStyle w:val="AoEBullet"/>
              <w:numPr>
                <w:ilvl w:val="0"/>
                <w:numId w:val="0"/>
              </w:numPr>
              <w:ind w:left="255"/>
              <w:rPr>
                <w:rFonts w:cstheme="minorHAnsi"/>
              </w:rPr>
            </w:pPr>
          </w:p>
        </w:tc>
        <w:tc>
          <w:tcPr>
            <w:tcW w:w="1517" w:type="pct"/>
          </w:tcPr>
          <w:p w14:paraId="3E886BE7" w14:textId="77777777" w:rsidR="002738AE" w:rsidRPr="009F6871" w:rsidRDefault="002738AE" w:rsidP="00FF27DE">
            <w:pPr>
              <w:pStyle w:val="AoEBullet"/>
              <w:contextualSpacing w:val="0"/>
              <w:rPr>
                <w:rFonts w:cstheme="minorHAnsi"/>
              </w:rPr>
            </w:pPr>
            <w:r w:rsidRPr="009F6871">
              <w:t>Cross-Functional &amp; Matrix Leadership</w:t>
            </w:r>
            <w:r w:rsidRPr="009F6871">
              <w:rPr>
                <w:rFonts w:cstheme="minorHAnsi"/>
              </w:rPr>
              <w:t xml:space="preserve"> </w:t>
            </w:r>
          </w:p>
          <w:p w14:paraId="04813942" w14:textId="601252F4" w:rsidR="00245531" w:rsidRPr="009F6871" w:rsidRDefault="00245531" w:rsidP="00FF27DE">
            <w:pPr>
              <w:pStyle w:val="AoEBullet"/>
              <w:contextualSpacing w:val="0"/>
              <w:rPr>
                <w:rFonts w:cstheme="minorHAnsi"/>
              </w:rPr>
            </w:pPr>
            <w:r w:rsidRPr="009F6871">
              <w:rPr>
                <w:rFonts w:cstheme="minorHAnsi"/>
              </w:rPr>
              <w:t>Sox Compliance</w:t>
            </w:r>
          </w:p>
          <w:p w14:paraId="52621583" w14:textId="1A7E036A" w:rsidR="00EF255D" w:rsidRPr="009F6871" w:rsidRDefault="00EF255D" w:rsidP="00FF27DE">
            <w:pPr>
              <w:pStyle w:val="AoEBullet"/>
              <w:contextualSpacing w:val="0"/>
              <w:rPr>
                <w:rFonts w:cstheme="minorHAnsi"/>
              </w:rPr>
            </w:pPr>
            <w:r w:rsidRPr="009F6871">
              <w:rPr>
                <w:rFonts w:cstheme="minorHAnsi"/>
              </w:rPr>
              <w:t>Make or Buy Analysis</w:t>
            </w:r>
          </w:p>
          <w:p w14:paraId="3F74304F" w14:textId="267A4047" w:rsidR="00F958FB" w:rsidRPr="009F6871" w:rsidRDefault="005E14F9" w:rsidP="00FF27DE">
            <w:pPr>
              <w:pStyle w:val="AoEBullet"/>
              <w:contextualSpacing w:val="0"/>
              <w:rPr>
                <w:rFonts w:cstheme="minorHAnsi"/>
              </w:rPr>
            </w:pPr>
            <w:r w:rsidRPr="009F6871">
              <w:rPr>
                <w:rFonts w:cstheme="minorHAnsi"/>
              </w:rPr>
              <w:t>Project Management</w:t>
            </w:r>
          </w:p>
          <w:p w14:paraId="44CF9CA3" w14:textId="77777777" w:rsidR="00E31042" w:rsidRPr="009F6871" w:rsidRDefault="00E31042" w:rsidP="00E31042">
            <w:pPr>
              <w:pStyle w:val="AoEBullet"/>
              <w:rPr>
                <w:rFonts w:cstheme="minorHAnsi"/>
              </w:rPr>
            </w:pPr>
            <w:r w:rsidRPr="009F6871">
              <w:rPr>
                <w:rFonts w:cstheme="minorHAnsi"/>
              </w:rPr>
              <w:t xml:space="preserve">Strategic Direction &amp; Planning </w:t>
            </w:r>
          </w:p>
          <w:p w14:paraId="33F4B35E" w14:textId="4D6FF753" w:rsidR="00E31042" w:rsidRPr="009F6871" w:rsidRDefault="00E31042" w:rsidP="00E31042">
            <w:pPr>
              <w:pStyle w:val="AoEBullet"/>
              <w:rPr>
                <w:rFonts w:cstheme="minorHAnsi"/>
              </w:rPr>
            </w:pPr>
            <w:r w:rsidRPr="009F6871">
              <w:rPr>
                <w:rFonts w:cstheme="minorHAnsi"/>
              </w:rPr>
              <w:t>Logistics, Warehousing &amp; Distribution</w:t>
            </w:r>
            <w:r w:rsidR="002738AE" w:rsidRPr="009F6871">
              <w:rPr>
                <w:rFonts w:cstheme="minorHAnsi"/>
              </w:rPr>
              <w:t xml:space="preserve"> Strategy</w:t>
            </w:r>
          </w:p>
          <w:p w14:paraId="07514222" w14:textId="70869CAA" w:rsidR="00245531" w:rsidRPr="009F6871" w:rsidRDefault="00245531" w:rsidP="002738AE">
            <w:pPr>
              <w:pStyle w:val="AoEBullet"/>
              <w:numPr>
                <w:ilvl w:val="0"/>
                <w:numId w:val="0"/>
              </w:numPr>
              <w:ind w:left="255"/>
              <w:contextualSpacing w:val="0"/>
              <w:rPr>
                <w:rFonts w:cstheme="minorHAnsi"/>
              </w:rPr>
            </w:pPr>
          </w:p>
        </w:tc>
      </w:tr>
    </w:tbl>
    <w:p w14:paraId="57BD5914" w14:textId="26E7F973" w:rsidR="007E5D2A" w:rsidRPr="009E35D5" w:rsidRDefault="007E5D2A" w:rsidP="00FF27DE">
      <w:pPr>
        <w:pStyle w:val="SectionHeading"/>
        <w:spacing w:before="0" w:after="0"/>
        <w:rPr>
          <w:rFonts w:asciiTheme="minorHAnsi" w:hAnsiTheme="minorHAnsi" w:cstheme="minorHAnsi"/>
          <w:color w:val="294433"/>
          <w:sz w:val="26"/>
          <w:szCs w:val="26"/>
        </w:rPr>
      </w:pPr>
      <w:r w:rsidRPr="009E35D5">
        <w:rPr>
          <w:rFonts w:asciiTheme="minorHAnsi" w:hAnsiTheme="minorHAnsi" w:cstheme="minorHAnsi"/>
          <w:color w:val="294433"/>
          <w:sz w:val="26"/>
          <w:szCs w:val="26"/>
        </w:rPr>
        <w:t>Career Experience</w:t>
      </w:r>
    </w:p>
    <w:p w14:paraId="39764A5A" w14:textId="45CD398D" w:rsidR="000C4F66" w:rsidRPr="009E35D5" w:rsidRDefault="000C4F66" w:rsidP="000C4F66">
      <w:pPr>
        <w:jc w:val="both"/>
        <w:rPr>
          <w:rFonts w:eastAsia="Corbel" w:cstheme="minorHAnsi"/>
          <w:b/>
          <w:spacing w:val="-6"/>
        </w:rPr>
      </w:pPr>
      <w:r w:rsidRPr="009E35D5">
        <w:rPr>
          <w:rFonts w:eastAsia="Corbel" w:cstheme="minorHAnsi"/>
          <w:b/>
          <w:spacing w:val="-6"/>
        </w:rPr>
        <w:t xml:space="preserve">Senior Director of </w:t>
      </w:r>
      <w:r w:rsidR="006C5EAF">
        <w:rPr>
          <w:rFonts w:eastAsia="Corbel" w:cstheme="minorHAnsi"/>
          <w:b/>
          <w:spacing w:val="-6"/>
        </w:rPr>
        <w:t xml:space="preserve">Supply Chain, </w:t>
      </w:r>
      <w:r w:rsidRPr="009E35D5">
        <w:rPr>
          <w:rFonts w:eastAsia="Corbel" w:cstheme="minorHAnsi"/>
          <w:b/>
          <w:spacing w:val="-6"/>
        </w:rPr>
        <w:t xml:space="preserve">Planning and Inventory COE | </w:t>
      </w:r>
      <w:r w:rsidR="00EB080E" w:rsidRPr="00EB080E">
        <w:rPr>
          <w:rFonts w:eastAsia="Corbel" w:cstheme="minorHAnsi"/>
          <w:b/>
          <w:spacing w:val="-6"/>
        </w:rPr>
        <w:t>JB Poindexter &amp; Co</w:t>
      </w:r>
      <w:r w:rsidRPr="009E35D5">
        <w:rPr>
          <w:rFonts w:eastAsia="Corbel" w:cstheme="minorHAnsi"/>
          <w:b/>
          <w:spacing w:val="-6"/>
        </w:rPr>
        <w:t>, Houston, TX, USA</w:t>
      </w:r>
      <w:r w:rsidRPr="009E35D5">
        <w:rPr>
          <w:rFonts w:eastAsia="Corbel" w:cstheme="minorHAnsi"/>
          <w:b/>
          <w:spacing w:val="-6"/>
        </w:rPr>
        <w:tab/>
        <w:t xml:space="preserve">                                  2024 – Present</w:t>
      </w:r>
    </w:p>
    <w:p w14:paraId="0A0F2E7F" w14:textId="77777777" w:rsidR="000C4F66" w:rsidRPr="009E35D5" w:rsidRDefault="000C4F66" w:rsidP="000C4F66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Partnered with business leadership to establish targets and execute initiatives improving schedule execution, material availability, and inventory accuracy.</w:t>
      </w:r>
    </w:p>
    <w:p w14:paraId="40021564" w14:textId="4E852D4D" w:rsidR="00485084" w:rsidRPr="009E35D5" w:rsidRDefault="00485084" w:rsidP="00485084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 xml:space="preserve">Lead the development and implementation of effective supply planning as part of the comprehensive Sales Inventory Operations Planning (SIOP) process. </w:t>
      </w:r>
    </w:p>
    <w:p w14:paraId="63B758DC" w14:textId="77777777" w:rsidR="009E35D5" w:rsidRPr="009E35D5" w:rsidRDefault="009E35D5" w:rsidP="009E35D5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Spearheaded warehouse management process improvements and technology implementation to enhance efficiency.</w:t>
      </w:r>
    </w:p>
    <w:p w14:paraId="31554F6B" w14:textId="77777777" w:rsidR="009E35D5" w:rsidRPr="009E35D5" w:rsidRDefault="009E35D5" w:rsidP="009E35D5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Implement best practices in warehouse management, materials planning, and inventory control, reducing inventory by $70M and improved ITO by 1.5 year on year.</w:t>
      </w:r>
    </w:p>
    <w:p w14:paraId="379D631B" w14:textId="02D12F88" w:rsidR="000C4F66" w:rsidRPr="009E35D5" w:rsidRDefault="008D51A8" w:rsidP="000C4F66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Lead the development and implementation of company policies</w:t>
      </w:r>
      <w:r w:rsidR="000C4F66" w:rsidRPr="009E35D5">
        <w:rPr>
          <w:rFonts w:asciiTheme="minorHAnsi" w:hAnsiTheme="minorHAnsi" w:cstheme="minorHAnsi"/>
        </w:rPr>
        <w:t>.</w:t>
      </w:r>
    </w:p>
    <w:p w14:paraId="2BEFDA1A" w14:textId="77777777" w:rsidR="000C4F66" w:rsidRPr="009E35D5" w:rsidRDefault="000C4F66" w:rsidP="000C4F66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Optimized raw material lead times and supplier on-time delivery, increasing production efficiency.</w:t>
      </w:r>
    </w:p>
    <w:p w14:paraId="488C2596" w14:textId="77777777" w:rsidR="008D51A8" w:rsidRPr="009E35D5" w:rsidRDefault="008D51A8" w:rsidP="008D51A8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Partner with executive leadership and cross-functional teams to drive supply chain innovation and transformation.</w:t>
      </w:r>
    </w:p>
    <w:p w14:paraId="171E1173" w14:textId="77777777" w:rsidR="008D51A8" w:rsidRPr="009E35D5" w:rsidRDefault="008D51A8" w:rsidP="008D51A8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Develop and execute a comprehensive global supply chain strategy aligned with corporate growth objectives.</w:t>
      </w:r>
    </w:p>
    <w:p w14:paraId="671072D0" w14:textId="77777777" w:rsidR="008D51A8" w:rsidRPr="009E35D5" w:rsidRDefault="008D51A8" w:rsidP="008D51A8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Implemented advanced forecasting and inventory management techniques to reduce lead times and improve service levels.</w:t>
      </w:r>
    </w:p>
    <w:p w14:paraId="4653B16B" w14:textId="77777777" w:rsidR="00E31042" w:rsidRPr="009E35D5" w:rsidRDefault="00E31042" w:rsidP="00E31042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Oversee supplier relationship management, reducing costs and optimizing contract negotiations for improved performance.</w:t>
      </w:r>
    </w:p>
    <w:p w14:paraId="59405570" w14:textId="77777777" w:rsidR="005F5A3F" w:rsidRPr="009E35D5" w:rsidRDefault="005F5A3F" w:rsidP="005F5A3F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Developed demand and supply planning frameworks, optimizing production schedules and inventory management.</w:t>
      </w:r>
    </w:p>
    <w:p w14:paraId="2B8EE260" w14:textId="77777777" w:rsidR="000C4F66" w:rsidRPr="009E35D5" w:rsidRDefault="000C4F66" w:rsidP="000C4F66">
      <w:pPr>
        <w:jc w:val="both"/>
        <w:rPr>
          <w:rFonts w:eastAsia="Corbel" w:cstheme="minorHAnsi"/>
          <w:b/>
          <w:spacing w:val="-6"/>
        </w:rPr>
      </w:pPr>
    </w:p>
    <w:p w14:paraId="238F48EE" w14:textId="100DEF17" w:rsidR="000C4F66" w:rsidRPr="009E35D5" w:rsidRDefault="000C4F66" w:rsidP="002738AE">
      <w:pPr>
        <w:jc w:val="both"/>
        <w:rPr>
          <w:rFonts w:eastAsia="Corbel" w:cstheme="minorHAnsi"/>
          <w:b/>
          <w:spacing w:val="-6"/>
        </w:rPr>
      </w:pPr>
      <w:r w:rsidRPr="009E35D5">
        <w:rPr>
          <w:rFonts w:eastAsia="Corbel" w:cstheme="minorHAnsi"/>
          <w:b/>
          <w:spacing w:val="-6"/>
        </w:rPr>
        <w:t>Operations Manager | Applied Materials, Santa Clara, CA, USA</w:t>
      </w:r>
      <w:r w:rsidRPr="009E35D5">
        <w:rPr>
          <w:rFonts w:eastAsia="Corbel" w:cstheme="minorHAnsi"/>
          <w:b/>
          <w:spacing w:val="-6"/>
        </w:rPr>
        <w:tab/>
      </w:r>
      <w:r w:rsidRPr="009E35D5">
        <w:rPr>
          <w:rFonts w:eastAsia="Corbel" w:cstheme="minorHAnsi"/>
          <w:b/>
          <w:spacing w:val="-6"/>
        </w:rPr>
        <w:tab/>
      </w:r>
      <w:r w:rsidR="002738AE" w:rsidRPr="009E35D5">
        <w:rPr>
          <w:rFonts w:eastAsia="Corbel" w:cstheme="minorHAnsi"/>
          <w:b/>
          <w:spacing w:val="-6"/>
        </w:rPr>
        <w:tab/>
      </w:r>
      <w:r w:rsidRPr="009E35D5">
        <w:rPr>
          <w:rFonts w:eastAsia="Corbel" w:cstheme="minorHAnsi"/>
          <w:b/>
          <w:spacing w:val="-6"/>
        </w:rPr>
        <w:tab/>
      </w:r>
      <w:r w:rsidRPr="009E35D5">
        <w:rPr>
          <w:rFonts w:eastAsia="Corbel" w:cstheme="minorHAnsi"/>
          <w:b/>
          <w:spacing w:val="-6"/>
        </w:rPr>
        <w:tab/>
        <w:t xml:space="preserve">                                      2024 – 2024</w:t>
      </w:r>
    </w:p>
    <w:p w14:paraId="4AED93F3" w14:textId="77777777" w:rsidR="000C4F66" w:rsidRPr="009E35D5" w:rsidRDefault="000C4F66" w:rsidP="000C4F66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Deliver cross-functional execution of divisions' operations programs to meet and exceed business unit and financial goals.</w:t>
      </w:r>
    </w:p>
    <w:p w14:paraId="1751A1AE" w14:textId="77777777" w:rsidR="000C4F66" w:rsidRPr="009E35D5" w:rsidRDefault="000C4F66" w:rsidP="000C4F66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Coordinate product portfolio prioritization and budget alignment.</w:t>
      </w:r>
    </w:p>
    <w:p w14:paraId="31B43FDE" w14:textId="77777777" w:rsidR="000C4F66" w:rsidRPr="009E35D5" w:rsidRDefault="000C4F66" w:rsidP="000C4F66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Ensure OPEX (operating expense) spending in alignment with project plans and spending target.</w:t>
      </w:r>
    </w:p>
    <w:p w14:paraId="6B02EF34" w14:textId="77777777" w:rsidR="000C4F66" w:rsidRPr="009E35D5" w:rsidRDefault="000C4F66" w:rsidP="000C4F66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Own interface points across the enterprise including supply chain and drive specific plans for continuous improvement.</w:t>
      </w:r>
    </w:p>
    <w:p w14:paraId="057013DA" w14:textId="77777777" w:rsidR="000C4F66" w:rsidRPr="009E35D5" w:rsidRDefault="000C4F66" w:rsidP="000C4F66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Manage and drive division COGS (cost of goods sold) reduction plans to deliver GM (gross margin) targets.</w:t>
      </w:r>
    </w:p>
    <w:p w14:paraId="48752842" w14:textId="77777777" w:rsidR="009E35D5" w:rsidRPr="009A0E97" w:rsidRDefault="009E35D5" w:rsidP="009E35D5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A0E97">
        <w:rPr>
          <w:rFonts w:asciiTheme="minorHAnsi" w:hAnsiTheme="minorHAnsi" w:cstheme="minorHAnsi"/>
        </w:rPr>
        <w:t>Led supply chain operational execution, ensuring optimal balance sheet performance, cash optimization, and inventory management.</w:t>
      </w:r>
    </w:p>
    <w:p w14:paraId="64F77B18" w14:textId="77777777" w:rsidR="00F778EE" w:rsidRPr="009E35D5" w:rsidRDefault="00F778EE" w:rsidP="00FF27DE">
      <w:pPr>
        <w:jc w:val="both"/>
        <w:rPr>
          <w:rFonts w:eastAsia="Corbel" w:cstheme="minorHAnsi"/>
          <w:b/>
          <w:spacing w:val="-6"/>
        </w:rPr>
      </w:pPr>
    </w:p>
    <w:p w14:paraId="381E663A" w14:textId="5F052F61" w:rsidR="004F4D55" w:rsidRPr="009E35D5" w:rsidRDefault="00284961" w:rsidP="00FF27DE">
      <w:pPr>
        <w:jc w:val="both"/>
        <w:rPr>
          <w:rFonts w:eastAsia="Corbel" w:cstheme="minorHAnsi"/>
          <w:b/>
          <w:spacing w:val="-6"/>
        </w:rPr>
      </w:pPr>
      <w:r w:rsidRPr="009E35D5">
        <w:rPr>
          <w:rFonts w:eastAsia="Corbel" w:cstheme="minorHAnsi"/>
          <w:b/>
          <w:spacing w:val="-6"/>
        </w:rPr>
        <w:t xml:space="preserve">Senior Director </w:t>
      </w:r>
      <w:r w:rsidR="00A01A78" w:rsidRPr="009E35D5">
        <w:rPr>
          <w:rFonts w:eastAsia="Corbel" w:cstheme="minorHAnsi"/>
          <w:b/>
          <w:spacing w:val="-6"/>
        </w:rPr>
        <w:t xml:space="preserve">Global </w:t>
      </w:r>
      <w:r w:rsidRPr="009E35D5">
        <w:rPr>
          <w:rFonts w:eastAsia="Corbel" w:cstheme="minorHAnsi"/>
          <w:b/>
          <w:spacing w:val="-6"/>
        </w:rPr>
        <w:t>Supply Chain</w:t>
      </w:r>
      <w:r w:rsidR="00A01A78" w:rsidRPr="009E35D5">
        <w:rPr>
          <w:rFonts w:eastAsia="Corbel" w:cstheme="minorHAnsi"/>
          <w:b/>
          <w:spacing w:val="-6"/>
        </w:rPr>
        <w:t xml:space="preserve"> Operations</w:t>
      </w:r>
      <w:r w:rsidRPr="009E35D5">
        <w:rPr>
          <w:rFonts w:eastAsia="Corbel" w:cstheme="minorHAnsi"/>
          <w:b/>
          <w:spacing w:val="-6"/>
        </w:rPr>
        <w:t>- Eastern Hemisphere | Halliburton, Dubai, UAE</w:t>
      </w:r>
      <w:r w:rsidRPr="009E35D5">
        <w:rPr>
          <w:rFonts w:eastAsia="Corbel" w:cstheme="minorHAnsi"/>
          <w:b/>
          <w:spacing w:val="-6"/>
        </w:rPr>
        <w:tab/>
      </w:r>
      <w:r w:rsidRPr="009E35D5">
        <w:rPr>
          <w:rFonts w:eastAsia="Corbel" w:cstheme="minorHAnsi"/>
          <w:b/>
          <w:spacing w:val="-6"/>
        </w:rPr>
        <w:tab/>
      </w:r>
      <w:r w:rsidR="00536585" w:rsidRPr="009E35D5">
        <w:rPr>
          <w:rFonts w:eastAsia="Corbel" w:cstheme="minorHAnsi"/>
          <w:b/>
          <w:spacing w:val="-6"/>
        </w:rPr>
        <w:t xml:space="preserve">               </w:t>
      </w:r>
      <w:r w:rsidR="00CA3DBE" w:rsidRPr="009E35D5">
        <w:rPr>
          <w:rFonts w:eastAsia="Corbel" w:cstheme="minorHAnsi"/>
          <w:b/>
          <w:spacing w:val="-6"/>
        </w:rPr>
        <w:t xml:space="preserve">       </w:t>
      </w:r>
      <w:r w:rsidRPr="009E35D5">
        <w:rPr>
          <w:rFonts w:eastAsia="Corbel" w:cstheme="minorHAnsi"/>
          <w:b/>
          <w:spacing w:val="-6"/>
        </w:rPr>
        <w:t>2020 – 2023</w:t>
      </w:r>
    </w:p>
    <w:p w14:paraId="540507C5" w14:textId="77777777" w:rsidR="00B924CE" w:rsidRPr="009E35D5" w:rsidRDefault="00B924CE" w:rsidP="00B924CE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Oversaw $2.2B+ in annual procurement spend, leading global supply chain strategy across 70+ countries.</w:t>
      </w:r>
    </w:p>
    <w:p w14:paraId="3F3368A4" w14:textId="77777777" w:rsidR="009E35D5" w:rsidRPr="009E35D5" w:rsidRDefault="009E35D5" w:rsidP="009E35D5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 xml:space="preserve">Minimized annual overhead costs by $750K (25%) by instituting centralized/consolidated procurement contracting centers, resulting in streamlining the tactical procurement, improving efficiency, and reducing cycle times by 20%. </w:t>
      </w:r>
    </w:p>
    <w:p w14:paraId="0901EA6B" w14:textId="77777777" w:rsidR="009E35D5" w:rsidRPr="009E35D5" w:rsidRDefault="009E35D5" w:rsidP="009E35D5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bookmarkStart w:id="0" w:name="_Hlk156200135"/>
      <w:r w:rsidRPr="009E35D5">
        <w:rPr>
          <w:rFonts w:asciiTheme="minorHAnsi" w:hAnsiTheme="minorHAnsi" w:cstheme="minorHAnsi"/>
        </w:rPr>
        <w:t>Reduced gross inventory by $200M (21%), minimized slow-moving stock by $140M (15%), reduced lead time by 25% and slashed excess and obsolete inventory by $93M (10%) while achieving a 15-year low of 138.1 Days Inventory Outstanding (DIO).</w:t>
      </w:r>
    </w:p>
    <w:bookmarkEnd w:id="0"/>
    <w:p w14:paraId="653B9778" w14:textId="77777777" w:rsidR="00E31042" w:rsidRPr="009E35D5" w:rsidRDefault="00E31042" w:rsidP="00E31042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Lead procurement, planning, and logistics operations, ensuring efficiency and compliance with international regulations.</w:t>
      </w:r>
    </w:p>
    <w:p w14:paraId="60842A16" w14:textId="77777777" w:rsidR="005F5A3F" w:rsidRPr="009E35D5" w:rsidRDefault="005F5A3F" w:rsidP="005F5A3F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Strengthened risk management strategies, ensuring compliance with global trade regulations.</w:t>
      </w:r>
    </w:p>
    <w:p w14:paraId="077D2C15" w14:textId="77777777" w:rsidR="00C04624" w:rsidRPr="009E35D5" w:rsidRDefault="007E5A25" w:rsidP="00C04624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 xml:space="preserve">Presented supply chain strategies and </w:t>
      </w:r>
      <w:r w:rsidR="00467DE7" w:rsidRPr="009E35D5">
        <w:rPr>
          <w:rFonts w:asciiTheme="minorHAnsi" w:hAnsiTheme="minorHAnsi" w:cstheme="minorHAnsi"/>
        </w:rPr>
        <w:t>accomplishments</w:t>
      </w:r>
      <w:r w:rsidRPr="009E35D5">
        <w:rPr>
          <w:rFonts w:asciiTheme="minorHAnsi" w:hAnsiTheme="minorHAnsi" w:cstheme="minorHAnsi"/>
        </w:rPr>
        <w:t xml:space="preserve"> </w:t>
      </w:r>
      <w:r w:rsidR="00BE2F15" w:rsidRPr="009E35D5">
        <w:rPr>
          <w:rFonts w:asciiTheme="minorHAnsi" w:hAnsiTheme="minorHAnsi" w:cstheme="minorHAnsi"/>
        </w:rPr>
        <w:t xml:space="preserve">to </w:t>
      </w:r>
      <w:r w:rsidRPr="009E35D5">
        <w:rPr>
          <w:rFonts w:asciiTheme="minorHAnsi" w:hAnsiTheme="minorHAnsi" w:cstheme="minorHAnsi"/>
        </w:rPr>
        <w:t xml:space="preserve">C-level members, Executive </w:t>
      </w:r>
      <w:r w:rsidR="00F778EE" w:rsidRPr="009E35D5">
        <w:rPr>
          <w:rFonts w:asciiTheme="minorHAnsi" w:hAnsiTheme="minorHAnsi" w:cstheme="minorHAnsi"/>
        </w:rPr>
        <w:t>Leaders,</w:t>
      </w:r>
      <w:r w:rsidRPr="009E35D5">
        <w:rPr>
          <w:rFonts w:asciiTheme="minorHAnsi" w:hAnsiTheme="minorHAnsi" w:cstheme="minorHAnsi"/>
        </w:rPr>
        <w:t xml:space="preserve"> and </w:t>
      </w:r>
      <w:r w:rsidR="00467DE7" w:rsidRPr="009E35D5">
        <w:rPr>
          <w:rFonts w:asciiTheme="minorHAnsi" w:hAnsiTheme="minorHAnsi" w:cstheme="minorHAnsi"/>
        </w:rPr>
        <w:t>VPs</w:t>
      </w:r>
      <w:r w:rsidRPr="009E35D5">
        <w:rPr>
          <w:rFonts w:asciiTheme="minorHAnsi" w:hAnsiTheme="minorHAnsi" w:cstheme="minorHAnsi"/>
        </w:rPr>
        <w:t xml:space="preserve">. </w:t>
      </w:r>
    </w:p>
    <w:p w14:paraId="68CCED8F" w14:textId="77777777" w:rsidR="00C04624" w:rsidRPr="009E35D5" w:rsidRDefault="007E5A25" w:rsidP="00C04624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lastRenderedPageBreak/>
        <w:t>I</w:t>
      </w:r>
      <w:r w:rsidR="009205DF" w:rsidRPr="009E35D5">
        <w:rPr>
          <w:rFonts w:asciiTheme="minorHAnsi" w:hAnsiTheme="minorHAnsi" w:cstheme="minorHAnsi"/>
        </w:rPr>
        <w:t xml:space="preserve">dentified opportunities for continuous improvement across various regions, manufacturing, and within matrixed organizations. </w:t>
      </w:r>
    </w:p>
    <w:p w14:paraId="75DF61D8" w14:textId="77777777" w:rsidR="00C04624" w:rsidRPr="009E35D5" w:rsidRDefault="009205DF" w:rsidP="00C04624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 xml:space="preserve">Implemented and </w:t>
      </w:r>
      <w:r w:rsidR="00467DE7" w:rsidRPr="009E35D5">
        <w:rPr>
          <w:rFonts w:asciiTheme="minorHAnsi" w:hAnsiTheme="minorHAnsi" w:cstheme="minorHAnsi"/>
        </w:rPr>
        <w:t>rolled</w:t>
      </w:r>
      <w:r w:rsidRPr="009E35D5">
        <w:rPr>
          <w:rFonts w:asciiTheme="minorHAnsi" w:hAnsiTheme="minorHAnsi" w:cstheme="minorHAnsi"/>
        </w:rPr>
        <w:t xml:space="preserve"> out Ariba, Vanguard, and SAP S4 Hana, aligning the supply chain for efficient operations. </w:t>
      </w:r>
    </w:p>
    <w:p w14:paraId="493EAC3C" w14:textId="77777777" w:rsidR="00E31042" w:rsidRPr="009E35D5" w:rsidRDefault="00E31042" w:rsidP="00E31042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bookmarkStart w:id="1" w:name="_Hlk156200126"/>
      <w:r w:rsidRPr="009E35D5">
        <w:rPr>
          <w:rFonts w:asciiTheme="minorHAnsi" w:hAnsiTheme="minorHAnsi" w:cstheme="minorHAnsi"/>
        </w:rPr>
        <w:t>Developed strategic supplier partnerships, enhancing operational resilience and mitigating supply chain disruptions.</w:t>
      </w:r>
    </w:p>
    <w:bookmarkEnd w:id="1"/>
    <w:p w14:paraId="7914A285" w14:textId="77777777" w:rsidR="00560190" w:rsidRPr="009E35D5" w:rsidRDefault="00560190" w:rsidP="00560190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Led P&amp;L analysis, financial forecasting, and cost optimization strategies within supply chain operations.</w:t>
      </w:r>
    </w:p>
    <w:p w14:paraId="27ABC0A7" w14:textId="77777777" w:rsidR="00560190" w:rsidRPr="009E35D5" w:rsidRDefault="00560190" w:rsidP="00560190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Developed and maintained supplier performance metrics to ensure high-quality service and compliance.</w:t>
      </w:r>
    </w:p>
    <w:p w14:paraId="58D7D4F4" w14:textId="377BD364" w:rsidR="00485084" w:rsidRPr="009E35D5" w:rsidRDefault="00485084" w:rsidP="00560190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F84C76">
        <w:rPr>
          <w:rFonts w:asciiTheme="minorHAnsi" w:hAnsiTheme="minorHAnsi" w:cstheme="minorHAnsi"/>
        </w:rPr>
        <w:t xml:space="preserve">Lead procurement and materials management strategies to optimize supplier performance and cost savings. </w:t>
      </w:r>
    </w:p>
    <w:p w14:paraId="7F7A9AB3" w14:textId="1D8DD3C5" w:rsidR="00485084" w:rsidRPr="009E35D5" w:rsidRDefault="00485084" w:rsidP="00560190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F84C76">
        <w:rPr>
          <w:rFonts w:asciiTheme="minorHAnsi" w:hAnsiTheme="minorHAnsi" w:cstheme="minorHAnsi"/>
        </w:rPr>
        <w:t>Utilize data analytics to drive strategic decision-making and procurement performance enhancements.</w:t>
      </w:r>
    </w:p>
    <w:p w14:paraId="5AAB1281" w14:textId="77777777" w:rsidR="00A70F9F" w:rsidRPr="009E35D5" w:rsidRDefault="00A70F9F" w:rsidP="00FF27DE">
      <w:pPr>
        <w:jc w:val="both"/>
        <w:rPr>
          <w:rFonts w:eastAsia="Corbel" w:cstheme="minorHAnsi"/>
          <w:b/>
          <w:spacing w:val="-6"/>
        </w:rPr>
      </w:pPr>
    </w:p>
    <w:p w14:paraId="57BC6A51" w14:textId="0FF5903C" w:rsidR="004F4D55" w:rsidRPr="009E35D5" w:rsidRDefault="00F77751" w:rsidP="00FF27DE">
      <w:pPr>
        <w:jc w:val="both"/>
        <w:rPr>
          <w:rFonts w:eastAsia="Corbel" w:cstheme="minorHAnsi"/>
          <w:b/>
          <w:spacing w:val="-6"/>
        </w:rPr>
      </w:pPr>
      <w:r w:rsidRPr="009E35D5">
        <w:rPr>
          <w:rFonts w:eastAsia="Corbel" w:cstheme="minorHAnsi"/>
          <w:b/>
          <w:spacing w:val="-6"/>
        </w:rPr>
        <w:t>Director Supply Chain</w:t>
      </w:r>
      <w:r w:rsidR="00A01A78" w:rsidRPr="009E35D5">
        <w:rPr>
          <w:rFonts w:eastAsia="Corbel" w:cstheme="minorHAnsi"/>
          <w:b/>
          <w:spacing w:val="-6"/>
        </w:rPr>
        <w:t xml:space="preserve"> Operations</w:t>
      </w:r>
      <w:r w:rsidRPr="009E35D5">
        <w:rPr>
          <w:rFonts w:eastAsia="Corbel" w:cstheme="minorHAnsi"/>
          <w:b/>
          <w:spacing w:val="-6"/>
        </w:rPr>
        <w:t xml:space="preserve"> – Middle East, North Africa, Asia Pacific |</w:t>
      </w:r>
      <w:r w:rsidR="00B9291A" w:rsidRPr="009E35D5">
        <w:rPr>
          <w:rFonts w:eastAsia="Corbel" w:cstheme="minorHAnsi"/>
          <w:b/>
          <w:spacing w:val="-6"/>
        </w:rPr>
        <w:t xml:space="preserve"> Halliburton</w:t>
      </w:r>
      <w:r w:rsidRPr="009E35D5">
        <w:rPr>
          <w:rFonts w:eastAsia="Corbel" w:cstheme="minorHAnsi"/>
          <w:b/>
          <w:spacing w:val="-6"/>
        </w:rPr>
        <w:t xml:space="preserve"> Dubai, UAE</w:t>
      </w:r>
      <w:r w:rsidR="00346665" w:rsidRPr="009E35D5">
        <w:rPr>
          <w:rFonts w:eastAsia="Corbel" w:cstheme="minorHAnsi"/>
          <w:b/>
          <w:spacing w:val="-6"/>
        </w:rPr>
        <w:t xml:space="preserve"> </w:t>
      </w:r>
      <w:r w:rsidR="006D4A22" w:rsidRPr="009E35D5">
        <w:rPr>
          <w:rFonts w:eastAsia="Corbel" w:cstheme="minorHAnsi"/>
          <w:b/>
          <w:spacing w:val="-6"/>
        </w:rPr>
        <w:tab/>
      </w:r>
      <w:r w:rsidR="00082442" w:rsidRPr="009E35D5">
        <w:rPr>
          <w:rFonts w:eastAsia="Corbel" w:cstheme="minorHAnsi"/>
          <w:b/>
          <w:spacing w:val="-6"/>
        </w:rPr>
        <w:tab/>
      </w:r>
      <w:r w:rsidRPr="009E35D5">
        <w:rPr>
          <w:rFonts w:eastAsia="Corbel" w:cstheme="minorHAnsi"/>
          <w:b/>
          <w:spacing w:val="-6"/>
        </w:rPr>
        <w:t xml:space="preserve"> </w:t>
      </w:r>
      <w:r w:rsidR="00536585" w:rsidRPr="009E35D5">
        <w:rPr>
          <w:rFonts w:eastAsia="Corbel" w:cstheme="minorHAnsi"/>
          <w:b/>
          <w:spacing w:val="-6"/>
        </w:rPr>
        <w:t xml:space="preserve">          </w:t>
      </w:r>
      <w:r w:rsidR="00B13452" w:rsidRPr="009E35D5">
        <w:rPr>
          <w:rFonts w:eastAsia="Corbel" w:cstheme="minorHAnsi"/>
          <w:b/>
          <w:spacing w:val="-6"/>
        </w:rPr>
        <w:t xml:space="preserve">    </w:t>
      </w:r>
      <w:r w:rsidR="00CA3DBE" w:rsidRPr="009E35D5">
        <w:rPr>
          <w:rFonts w:eastAsia="Corbel" w:cstheme="minorHAnsi"/>
          <w:b/>
          <w:spacing w:val="-6"/>
        </w:rPr>
        <w:t xml:space="preserve">       </w:t>
      </w:r>
      <w:r w:rsidRPr="009E35D5">
        <w:rPr>
          <w:rFonts w:eastAsia="Corbel" w:cstheme="minorHAnsi"/>
          <w:b/>
          <w:spacing w:val="-6"/>
        </w:rPr>
        <w:t>2017 – 2019</w:t>
      </w:r>
    </w:p>
    <w:p w14:paraId="3F556313" w14:textId="6373A653" w:rsidR="00B924CE" w:rsidRPr="009E35D5" w:rsidRDefault="00B924CE" w:rsidP="00E31042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Managed $1.7B in procurement spend, delivering $221M in annual savings (13%) through strategic sourcing.</w:t>
      </w:r>
    </w:p>
    <w:p w14:paraId="3DD65810" w14:textId="58D004CF" w:rsidR="00E31042" w:rsidRPr="009E35D5" w:rsidRDefault="00F77751" w:rsidP="00E31042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 xml:space="preserve">Led strategic sourcing, contract management, and negotiation efforts by driving </w:t>
      </w:r>
      <w:r w:rsidR="00B075DE" w:rsidRPr="009E35D5">
        <w:rPr>
          <w:rFonts w:asciiTheme="minorHAnsi" w:hAnsiTheme="minorHAnsi" w:cstheme="minorHAnsi"/>
        </w:rPr>
        <w:t xml:space="preserve">COGS optimization, </w:t>
      </w:r>
      <w:r w:rsidR="00467DE7" w:rsidRPr="009E35D5">
        <w:rPr>
          <w:rFonts w:asciiTheme="minorHAnsi" w:hAnsiTheme="minorHAnsi" w:cstheme="minorHAnsi"/>
        </w:rPr>
        <w:t xml:space="preserve">and </w:t>
      </w:r>
      <w:r w:rsidR="00B075DE" w:rsidRPr="009E35D5">
        <w:rPr>
          <w:rFonts w:asciiTheme="minorHAnsi" w:hAnsiTheme="minorHAnsi" w:cstheme="minorHAnsi"/>
        </w:rPr>
        <w:t>maintain</w:t>
      </w:r>
      <w:r w:rsidR="006131F9" w:rsidRPr="009E35D5">
        <w:rPr>
          <w:rFonts w:asciiTheme="minorHAnsi" w:hAnsiTheme="minorHAnsi" w:cstheme="minorHAnsi"/>
        </w:rPr>
        <w:t>ing</w:t>
      </w:r>
      <w:r w:rsidR="00B075DE" w:rsidRPr="009E35D5">
        <w:rPr>
          <w:rFonts w:asciiTheme="minorHAnsi" w:hAnsiTheme="minorHAnsi" w:cstheme="minorHAnsi"/>
        </w:rPr>
        <w:t xml:space="preserve"> a needs-based segmented supply base</w:t>
      </w:r>
      <w:r w:rsidR="002326E7" w:rsidRPr="009E35D5">
        <w:rPr>
          <w:rFonts w:asciiTheme="minorHAnsi" w:hAnsiTheme="minorHAnsi" w:cstheme="minorHAnsi"/>
        </w:rPr>
        <w:t>.</w:t>
      </w:r>
      <w:r w:rsidRPr="009E35D5">
        <w:rPr>
          <w:rFonts w:asciiTheme="minorHAnsi" w:hAnsiTheme="minorHAnsi" w:cstheme="minorHAnsi"/>
        </w:rPr>
        <w:t xml:space="preserve"> </w:t>
      </w:r>
    </w:p>
    <w:p w14:paraId="6C65A211" w14:textId="2ACAB6DF" w:rsidR="00F77751" w:rsidRPr="009E35D5" w:rsidRDefault="00F77751" w:rsidP="00E31042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 xml:space="preserve">Played an integral role in securing advantageous vendor contracts, executing fire sales, and driving significant cost reductions in inventory by </w:t>
      </w:r>
      <w:r w:rsidR="00016EDB" w:rsidRPr="009E35D5">
        <w:rPr>
          <w:rFonts w:asciiTheme="minorHAnsi" w:hAnsiTheme="minorHAnsi" w:cstheme="minorHAnsi"/>
        </w:rPr>
        <w:t xml:space="preserve">collaborating </w:t>
      </w:r>
      <w:r w:rsidRPr="009E35D5">
        <w:rPr>
          <w:rFonts w:asciiTheme="minorHAnsi" w:hAnsiTheme="minorHAnsi" w:cstheme="minorHAnsi"/>
        </w:rPr>
        <w:t>with Procurement and Logistics teams on several initiatives.</w:t>
      </w:r>
    </w:p>
    <w:p w14:paraId="3C15A0DB" w14:textId="2ECE039B" w:rsidR="00F77751" w:rsidRPr="009E35D5" w:rsidRDefault="00F77751" w:rsidP="00AA32E6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bookmarkStart w:id="2" w:name="_Hlk156200158"/>
      <w:r w:rsidRPr="009E35D5">
        <w:rPr>
          <w:rFonts w:asciiTheme="minorHAnsi" w:hAnsiTheme="minorHAnsi" w:cstheme="minorHAnsi"/>
        </w:rPr>
        <w:t>Enhanced working capital by $87M through adept negotiation of payment terms</w:t>
      </w:r>
      <w:r w:rsidR="009E35D5" w:rsidRPr="009E35D5">
        <w:rPr>
          <w:rFonts w:asciiTheme="minorHAnsi" w:hAnsiTheme="minorHAnsi" w:cstheme="minorHAnsi"/>
        </w:rPr>
        <w:t>.</w:t>
      </w:r>
      <w:r w:rsidR="004D27CA" w:rsidRPr="009E35D5">
        <w:rPr>
          <w:rFonts w:asciiTheme="minorHAnsi" w:hAnsiTheme="minorHAnsi" w:cstheme="minorHAnsi"/>
        </w:rPr>
        <w:t xml:space="preserve"> </w:t>
      </w:r>
    </w:p>
    <w:p w14:paraId="43C015CA" w14:textId="0BBFC073" w:rsidR="00F77751" w:rsidRPr="009E35D5" w:rsidRDefault="00F77751" w:rsidP="00FF27DE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Slashed inventory-carrying costs by $700K and achieved an 80-90% reduction in lead time by optimizing chemical stocking directly from Middle Eastern vendors.</w:t>
      </w:r>
      <w:r w:rsidR="004D27CA" w:rsidRPr="009E35D5">
        <w:rPr>
          <w:rFonts w:asciiTheme="minorHAnsi" w:hAnsiTheme="minorHAnsi" w:cstheme="minorHAnsi"/>
        </w:rPr>
        <w:t xml:space="preserve"> </w:t>
      </w:r>
    </w:p>
    <w:p w14:paraId="3B10CBB0" w14:textId="4D5F91D0" w:rsidR="00F77751" w:rsidRPr="009E35D5" w:rsidRDefault="00F77751" w:rsidP="00FF27DE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 xml:space="preserve">Achieved a consistent 21% year-on-year reduction in airfreight spend by </w:t>
      </w:r>
      <w:r w:rsidR="00A85F1A" w:rsidRPr="009E35D5">
        <w:rPr>
          <w:rFonts w:asciiTheme="minorHAnsi" w:hAnsiTheme="minorHAnsi" w:cstheme="minorHAnsi"/>
        </w:rPr>
        <w:t>executing</w:t>
      </w:r>
      <w:r w:rsidRPr="009E35D5">
        <w:rPr>
          <w:rFonts w:asciiTheme="minorHAnsi" w:hAnsiTheme="minorHAnsi" w:cstheme="minorHAnsi"/>
        </w:rPr>
        <w:t xml:space="preserve"> targeted strategies for planned material deliveries</w:t>
      </w:r>
      <w:r w:rsidR="004F4D55" w:rsidRPr="009E35D5">
        <w:rPr>
          <w:rFonts w:asciiTheme="minorHAnsi" w:hAnsiTheme="minorHAnsi" w:cstheme="minorHAnsi"/>
        </w:rPr>
        <w:t>.</w:t>
      </w:r>
      <w:r w:rsidR="004D27CA" w:rsidRPr="009E35D5">
        <w:rPr>
          <w:rFonts w:asciiTheme="minorHAnsi" w:hAnsiTheme="minorHAnsi" w:cstheme="minorHAnsi"/>
        </w:rPr>
        <w:t xml:space="preserve"> </w:t>
      </w:r>
    </w:p>
    <w:bookmarkEnd w:id="2"/>
    <w:p w14:paraId="7DF92666" w14:textId="0E4AFBCE" w:rsidR="00F77751" w:rsidRPr="009E35D5" w:rsidRDefault="00F77751" w:rsidP="00FF27DE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Successfully met and surpassed industry standards in internal and external audits, including API Q2, ISO 9001 evaluations,</w:t>
      </w:r>
      <w:r w:rsidR="00AA7F86" w:rsidRPr="009E35D5">
        <w:rPr>
          <w:rFonts w:asciiTheme="minorHAnsi" w:hAnsiTheme="minorHAnsi" w:cstheme="minorHAnsi"/>
        </w:rPr>
        <w:t xml:space="preserve"> </w:t>
      </w:r>
      <w:r w:rsidR="00F778EE" w:rsidRPr="009E35D5">
        <w:rPr>
          <w:rFonts w:asciiTheme="minorHAnsi" w:hAnsiTheme="minorHAnsi" w:cstheme="minorHAnsi"/>
        </w:rPr>
        <w:t>OSHA,</w:t>
      </w:r>
      <w:r w:rsidR="00AA7F86" w:rsidRPr="009E35D5">
        <w:rPr>
          <w:rFonts w:asciiTheme="minorHAnsi" w:hAnsiTheme="minorHAnsi" w:cstheme="minorHAnsi"/>
        </w:rPr>
        <w:t xml:space="preserve"> and </w:t>
      </w:r>
      <w:r w:rsidRPr="009E35D5">
        <w:rPr>
          <w:rFonts w:asciiTheme="minorHAnsi" w:hAnsiTheme="minorHAnsi" w:cstheme="minorHAnsi"/>
        </w:rPr>
        <w:t>SOX compliance.</w:t>
      </w:r>
      <w:r w:rsidR="004D27CA" w:rsidRPr="009E35D5">
        <w:rPr>
          <w:rFonts w:asciiTheme="minorHAnsi" w:hAnsiTheme="minorHAnsi" w:cstheme="minorHAnsi"/>
        </w:rPr>
        <w:t xml:space="preserve"> </w:t>
      </w:r>
    </w:p>
    <w:p w14:paraId="3BF6AE9F" w14:textId="25860863" w:rsidR="00560190" w:rsidRPr="009E35D5" w:rsidRDefault="00B924CE" w:rsidP="00560190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 xml:space="preserve">Established </w:t>
      </w:r>
      <w:r w:rsidR="00560190" w:rsidRPr="009E35D5">
        <w:rPr>
          <w:rFonts w:asciiTheme="minorHAnsi" w:hAnsiTheme="minorHAnsi" w:cstheme="minorHAnsi"/>
        </w:rPr>
        <w:t>category management initiatives, aligning sourcing strategies with business objectives.</w:t>
      </w:r>
    </w:p>
    <w:p w14:paraId="0195E28E" w14:textId="77777777" w:rsidR="00560190" w:rsidRPr="009E35D5" w:rsidRDefault="00560190" w:rsidP="00560190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Developed and executed multi-year category strategies to improve procurement efficiency and reduce total cost of ownership.</w:t>
      </w:r>
    </w:p>
    <w:p w14:paraId="07992853" w14:textId="77777777" w:rsidR="00560190" w:rsidRPr="009E35D5" w:rsidRDefault="00560190" w:rsidP="00560190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Implemented risk mitigation strategies, sustainability initiatives, and supplier diversity programs.</w:t>
      </w:r>
    </w:p>
    <w:p w14:paraId="5677FBB0" w14:textId="77777777" w:rsidR="00FF27DE" w:rsidRPr="009E35D5" w:rsidRDefault="00FF27DE" w:rsidP="00FF27DE">
      <w:pPr>
        <w:jc w:val="both"/>
        <w:rPr>
          <w:rFonts w:eastAsia="Corbel" w:cstheme="minorHAnsi"/>
          <w:b/>
          <w:spacing w:val="-6"/>
          <w:sz w:val="16"/>
          <w:szCs w:val="16"/>
        </w:rPr>
      </w:pPr>
    </w:p>
    <w:p w14:paraId="6B0B2647" w14:textId="1E985EC2" w:rsidR="00F77751" w:rsidRPr="009E35D5" w:rsidRDefault="00F77751" w:rsidP="00FF27DE">
      <w:pPr>
        <w:jc w:val="both"/>
        <w:rPr>
          <w:rFonts w:eastAsia="Corbel" w:cstheme="minorHAnsi"/>
          <w:b/>
          <w:spacing w:val="-6"/>
        </w:rPr>
      </w:pPr>
      <w:r w:rsidRPr="009E35D5">
        <w:rPr>
          <w:rFonts w:eastAsia="Corbel" w:cstheme="minorHAnsi"/>
          <w:b/>
          <w:spacing w:val="-6"/>
        </w:rPr>
        <w:t>Manager Supply Chain</w:t>
      </w:r>
      <w:r w:rsidR="00A01A78" w:rsidRPr="009E35D5">
        <w:rPr>
          <w:rFonts w:eastAsia="Corbel" w:cstheme="minorHAnsi"/>
          <w:b/>
          <w:spacing w:val="-6"/>
        </w:rPr>
        <w:t xml:space="preserve"> Operations</w:t>
      </w:r>
      <w:r w:rsidRPr="009E35D5">
        <w:rPr>
          <w:rFonts w:eastAsia="Corbel" w:cstheme="minorHAnsi"/>
          <w:b/>
          <w:spacing w:val="-6"/>
        </w:rPr>
        <w:t xml:space="preserve"> –Asia Pacific | Halliburton, Kuala Lumpur, Malaysia</w:t>
      </w:r>
      <w:r w:rsidRPr="009E35D5">
        <w:rPr>
          <w:rFonts w:eastAsia="Corbel" w:cstheme="minorHAnsi"/>
          <w:b/>
          <w:spacing w:val="-6"/>
        </w:rPr>
        <w:tab/>
      </w:r>
      <w:r w:rsidR="006D4A22" w:rsidRPr="009E35D5">
        <w:rPr>
          <w:rFonts w:eastAsia="Corbel" w:cstheme="minorHAnsi"/>
          <w:b/>
          <w:spacing w:val="-6"/>
        </w:rPr>
        <w:tab/>
      </w:r>
      <w:r w:rsidRPr="009E35D5">
        <w:rPr>
          <w:rFonts w:eastAsia="Corbel" w:cstheme="minorHAnsi"/>
          <w:b/>
          <w:spacing w:val="-6"/>
        </w:rPr>
        <w:tab/>
      </w:r>
      <w:r w:rsidR="00536585" w:rsidRPr="009E35D5">
        <w:rPr>
          <w:rFonts w:eastAsia="Corbel" w:cstheme="minorHAnsi"/>
          <w:b/>
          <w:spacing w:val="-6"/>
        </w:rPr>
        <w:t xml:space="preserve">                 </w:t>
      </w:r>
      <w:r w:rsidR="00CA3DBE" w:rsidRPr="009E35D5">
        <w:rPr>
          <w:rFonts w:eastAsia="Corbel" w:cstheme="minorHAnsi"/>
          <w:b/>
          <w:spacing w:val="-6"/>
        </w:rPr>
        <w:t xml:space="preserve">     </w:t>
      </w:r>
      <w:r w:rsidRPr="009E35D5">
        <w:rPr>
          <w:rFonts w:eastAsia="Corbel" w:cstheme="minorHAnsi"/>
          <w:b/>
          <w:spacing w:val="-6"/>
        </w:rPr>
        <w:t>2014</w:t>
      </w:r>
      <w:r w:rsidR="00CA3DBE" w:rsidRPr="009E35D5">
        <w:rPr>
          <w:rFonts w:eastAsia="Corbel" w:cstheme="minorHAnsi"/>
          <w:b/>
          <w:spacing w:val="-6"/>
        </w:rPr>
        <w:t xml:space="preserve"> – </w:t>
      </w:r>
      <w:r w:rsidRPr="009E35D5">
        <w:rPr>
          <w:rFonts w:eastAsia="Corbel" w:cstheme="minorHAnsi"/>
          <w:b/>
          <w:spacing w:val="-6"/>
        </w:rPr>
        <w:t>2016</w:t>
      </w:r>
    </w:p>
    <w:p w14:paraId="6DC7086F" w14:textId="39C278A8" w:rsidR="005F5A3F" w:rsidRPr="009E35D5" w:rsidRDefault="005F5A3F" w:rsidP="00C04624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bookmarkStart w:id="3" w:name="_Hlk156200248"/>
      <w:r w:rsidRPr="009E35D5">
        <w:rPr>
          <w:rFonts w:asciiTheme="minorHAnsi" w:hAnsiTheme="minorHAnsi" w:cstheme="minorHAnsi"/>
        </w:rPr>
        <w:t xml:space="preserve">Devised Halliburton’s 7-step sourcing playbook, empowering country sourcing leads and APAC team members to execute projects, resulting in savings of $13.5M. </w:t>
      </w:r>
    </w:p>
    <w:p w14:paraId="4FB0E109" w14:textId="4965E305" w:rsidR="00F77751" w:rsidRPr="009E35D5" w:rsidRDefault="00F77751" w:rsidP="00FF27DE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Earned regional management recognition by persuading stakeholders to adopt China-sourced products, generating $633K in savings for APAC within two weeks of implementation.</w:t>
      </w:r>
      <w:r w:rsidR="006377DA" w:rsidRPr="009E35D5">
        <w:rPr>
          <w:rFonts w:asciiTheme="minorHAnsi" w:hAnsiTheme="minorHAnsi" w:cstheme="minorHAnsi"/>
        </w:rPr>
        <w:t xml:space="preserve"> </w:t>
      </w:r>
    </w:p>
    <w:bookmarkEnd w:id="3"/>
    <w:p w14:paraId="60A93D29" w14:textId="77777777" w:rsidR="009E35D5" w:rsidRPr="009E35D5" w:rsidRDefault="00F77751" w:rsidP="00FF27DE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Reduced monthly costs by $20K through 90% cargo consolidation across Thailand, Malaysia, and Singapore</w:t>
      </w:r>
      <w:r w:rsidR="009E35D5" w:rsidRPr="009E35D5">
        <w:rPr>
          <w:rFonts w:asciiTheme="minorHAnsi" w:hAnsiTheme="minorHAnsi" w:cstheme="minorHAnsi"/>
        </w:rPr>
        <w:t>.</w:t>
      </w:r>
    </w:p>
    <w:p w14:paraId="579C2EED" w14:textId="77777777" w:rsidR="009E35D5" w:rsidRPr="009E35D5" w:rsidRDefault="009E35D5" w:rsidP="009E35D5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 xml:space="preserve">Implemented Free Trade Zone (FTZ) practices in Halliburton India, reducing mobilization and demobilization times for customers and allowing equipment to remain under bond until contract availability. </w:t>
      </w:r>
    </w:p>
    <w:p w14:paraId="57316FBC" w14:textId="77777777" w:rsidR="00FF27DE" w:rsidRPr="009E35D5" w:rsidRDefault="00FF27DE" w:rsidP="00FF27DE">
      <w:pPr>
        <w:jc w:val="both"/>
        <w:rPr>
          <w:rFonts w:eastAsia="Corbel" w:cstheme="minorHAnsi"/>
          <w:b/>
          <w:spacing w:val="-6"/>
          <w:sz w:val="16"/>
          <w:szCs w:val="16"/>
        </w:rPr>
      </w:pPr>
    </w:p>
    <w:p w14:paraId="517AC300" w14:textId="67D450ED" w:rsidR="004F4D55" w:rsidRPr="009E35D5" w:rsidRDefault="00F77751" w:rsidP="00FF27DE">
      <w:pPr>
        <w:jc w:val="both"/>
        <w:rPr>
          <w:rFonts w:eastAsia="Corbel" w:cstheme="minorHAnsi"/>
          <w:b/>
          <w:spacing w:val="-6"/>
        </w:rPr>
      </w:pPr>
      <w:r w:rsidRPr="009E35D5">
        <w:rPr>
          <w:rFonts w:eastAsia="Corbel" w:cstheme="minorHAnsi"/>
          <w:b/>
          <w:spacing w:val="-6"/>
        </w:rPr>
        <w:t>Manager Supply Chain</w:t>
      </w:r>
      <w:r w:rsidR="00A01A78" w:rsidRPr="009E35D5">
        <w:rPr>
          <w:rFonts w:eastAsia="Corbel" w:cstheme="minorHAnsi"/>
          <w:b/>
          <w:spacing w:val="-6"/>
        </w:rPr>
        <w:t xml:space="preserve"> Operations</w:t>
      </w:r>
      <w:r w:rsidRPr="009E35D5">
        <w:rPr>
          <w:rFonts w:eastAsia="Corbel" w:cstheme="minorHAnsi"/>
          <w:b/>
          <w:spacing w:val="-6"/>
        </w:rPr>
        <w:t xml:space="preserve"> –Central Asia | Halliburton, Kuala Lumpur, Malaysia </w:t>
      </w:r>
      <w:r w:rsidRPr="009E35D5">
        <w:rPr>
          <w:rFonts w:eastAsia="Corbel" w:cstheme="minorHAnsi"/>
          <w:b/>
          <w:spacing w:val="-6"/>
        </w:rPr>
        <w:tab/>
      </w:r>
      <w:r w:rsidRPr="009E35D5">
        <w:rPr>
          <w:rFonts w:eastAsia="Corbel" w:cstheme="minorHAnsi"/>
          <w:b/>
          <w:spacing w:val="-6"/>
        </w:rPr>
        <w:tab/>
      </w:r>
      <w:r w:rsidR="00536585" w:rsidRPr="009E35D5">
        <w:rPr>
          <w:rFonts w:eastAsia="Corbel" w:cstheme="minorHAnsi"/>
          <w:b/>
          <w:spacing w:val="-6"/>
        </w:rPr>
        <w:t xml:space="preserve">                                 </w:t>
      </w:r>
      <w:r w:rsidR="00977B04" w:rsidRPr="009E35D5">
        <w:rPr>
          <w:rFonts w:eastAsia="Corbel" w:cstheme="minorHAnsi"/>
          <w:b/>
          <w:spacing w:val="-6"/>
        </w:rPr>
        <w:t xml:space="preserve">      </w:t>
      </w:r>
      <w:r w:rsidRPr="009E35D5">
        <w:rPr>
          <w:rFonts w:eastAsia="Corbel" w:cstheme="minorHAnsi"/>
          <w:b/>
          <w:spacing w:val="-6"/>
        </w:rPr>
        <w:t>201</w:t>
      </w:r>
      <w:r w:rsidR="006655E1" w:rsidRPr="009E35D5">
        <w:rPr>
          <w:rFonts w:eastAsia="Corbel" w:cstheme="minorHAnsi"/>
          <w:b/>
          <w:spacing w:val="-6"/>
        </w:rPr>
        <w:t>1</w:t>
      </w:r>
      <w:r w:rsidR="00977B04" w:rsidRPr="009E35D5">
        <w:rPr>
          <w:rFonts w:eastAsia="Corbel" w:cstheme="minorHAnsi"/>
          <w:b/>
          <w:spacing w:val="-6"/>
        </w:rPr>
        <w:t xml:space="preserve"> – </w:t>
      </w:r>
      <w:r w:rsidRPr="009E35D5">
        <w:rPr>
          <w:rFonts w:eastAsia="Corbel" w:cstheme="minorHAnsi"/>
          <w:b/>
          <w:spacing w:val="-6"/>
        </w:rPr>
        <w:t>201</w:t>
      </w:r>
      <w:r w:rsidR="00CB06A7" w:rsidRPr="009E35D5">
        <w:rPr>
          <w:rFonts w:eastAsia="Corbel" w:cstheme="minorHAnsi"/>
          <w:b/>
          <w:spacing w:val="-6"/>
        </w:rPr>
        <w:t>4</w:t>
      </w:r>
    </w:p>
    <w:p w14:paraId="2B91235D" w14:textId="2A49ED14" w:rsidR="00F77751" w:rsidRPr="009E35D5" w:rsidRDefault="00E22581" w:rsidP="00C04624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F84C76">
        <w:rPr>
          <w:rFonts w:asciiTheme="minorHAnsi" w:hAnsiTheme="minorHAnsi" w:cstheme="minorHAnsi"/>
        </w:rPr>
        <w:t>Administered</w:t>
      </w:r>
      <w:r w:rsidR="00F77751" w:rsidRPr="009E35D5">
        <w:rPr>
          <w:rFonts w:asciiTheme="minorHAnsi" w:hAnsiTheme="minorHAnsi" w:cstheme="minorHAnsi"/>
        </w:rPr>
        <w:t xml:space="preserve"> complete procurement lifecycle, including RFIs, RFPs/RFQs, supplier curation, contract discussions, </w:t>
      </w:r>
      <w:r w:rsidR="00016BA3" w:rsidRPr="009E35D5">
        <w:rPr>
          <w:rFonts w:asciiTheme="minorHAnsi" w:hAnsiTheme="minorHAnsi" w:cstheme="minorHAnsi"/>
        </w:rPr>
        <w:t xml:space="preserve">cost modeling, </w:t>
      </w:r>
      <w:r w:rsidR="009B3BE0" w:rsidRPr="009E35D5">
        <w:rPr>
          <w:rFonts w:asciiTheme="minorHAnsi" w:hAnsiTheme="minorHAnsi" w:cstheme="minorHAnsi"/>
        </w:rPr>
        <w:t xml:space="preserve">benchmarking, </w:t>
      </w:r>
      <w:r w:rsidR="00B33F70" w:rsidRPr="009E35D5">
        <w:rPr>
          <w:rFonts w:asciiTheme="minorHAnsi" w:hAnsiTheme="minorHAnsi" w:cstheme="minorHAnsi"/>
        </w:rPr>
        <w:t>improving</w:t>
      </w:r>
      <w:r w:rsidR="00F77751" w:rsidRPr="009E35D5">
        <w:rPr>
          <w:rFonts w:asciiTheme="minorHAnsi" w:hAnsiTheme="minorHAnsi" w:cstheme="minorHAnsi"/>
        </w:rPr>
        <w:t xml:space="preserve"> Total Cost of Ownership (TCO), managing supplier vulnerabilities, addressing supplier challenges, crafting supplier scorecards,</w:t>
      </w:r>
      <w:r w:rsidR="00944891" w:rsidRPr="009E35D5">
        <w:rPr>
          <w:rFonts w:asciiTheme="minorHAnsi" w:hAnsiTheme="minorHAnsi" w:cstheme="minorHAnsi"/>
        </w:rPr>
        <w:t xml:space="preserve"> implementing strategies to optimize with sales and relationship with key suppliers.</w:t>
      </w:r>
    </w:p>
    <w:p w14:paraId="7BC223D7" w14:textId="1A1AA15B" w:rsidR="00F77751" w:rsidRPr="009E35D5" w:rsidRDefault="00F77751" w:rsidP="00FF27DE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bookmarkStart w:id="4" w:name="_Hlk156200264"/>
      <w:r w:rsidRPr="009E35D5">
        <w:rPr>
          <w:rFonts w:asciiTheme="minorHAnsi" w:hAnsiTheme="minorHAnsi" w:cstheme="minorHAnsi"/>
        </w:rPr>
        <w:t xml:space="preserve">Drove a $406K (4.5%) cost reduction in specialty chemicals supplied by BASF </w:t>
      </w:r>
      <w:r w:rsidR="00164958" w:rsidRPr="009E35D5">
        <w:rPr>
          <w:rFonts w:asciiTheme="minorHAnsi" w:hAnsiTheme="minorHAnsi" w:cstheme="minorHAnsi"/>
        </w:rPr>
        <w:t>by utilizing forecasting,</w:t>
      </w:r>
      <w:r w:rsidRPr="009E35D5">
        <w:rPr>
          <w:rFonts w:asciiTheme="minorHAnsi" w:hAnsiTheme="minorHAnsi" w:cstheme="minorHAnsi"/>
        </w:rPr>
        <w:t xml:space="preserve"> cost analy</w:t>
      </w:r>
      <w:r w:rsidR="00164958" w:rsidRPr="009E35D5">
        <w:rPr>
          <w:rFonts w:asciiTheme="minorHAnsi" w:hAnsiTheme="minorHAnsi" w:cstheme="minorHAnsi"/>
        </w:rPr>
        <w:t>tics</w:t>
      </w:r>
      <w:r w:rsidRPr="009E35D5">
        <w:rPr>
          <w:rFonts w:asciiTheme="minorHAnsi" w:hAnsiTheme="minorHAnsi" w:cstheme="minorHAnsi"/>
        </w:rPr>
        <w:t xml:space="preserve"> and strategic negotiations </w:t>
      </w:r>
      <w:r w:rsidR="005F302A" w:rsidRPr="009E35D5">
        <w:rPr>
          <w:rFonts w:asciiTheme="minorHAnsi" w:hAnsiTheme="minorHAnsi" w:cstheme="minorHAnsi"/>
        </w:rPr>
        <w:t>and kept on-time delivery at 75% and inventory accuracy at 81%.</w:t>
      </w:r>
    </w:p>
    <w:p w14:paraId="7D260075" w14:textId="77777777" w:rsidR="004D27CA" w:rsidRPr="009E35D5" w:rsidRDefault="004D27CA" w:rsidP="00FF27DE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bookmarkStart w:id="5" w:name="_Hlk152419624"/>
      <w:r w:rsidRPr="009E35D5">
        <w:rPr>
          <w:rFonts w:asciiTheme="minorHAnsi" w:hAnsiTheme="minorHAnsi" w:cstheme="minorHAnsi"/>
        </w:rPr>
        <w:t>Implemented a vendor performance management system, leading to a 15% increase in supplier performance and a reduction in non-compliance issues by 25%.</w:t>
      </w:r>
    </w:p>
    <w:bookmarkEnd w:id="4"/>
    <w:bookmarkEnd w:id="5"/>
    <w:p w14:paraId="3DA93450" w14:textId="25429318" w:rsidR="002705BE" w:rsidRPr="009E35D5" w:rsidRDefault="002705BE" w:rsidP="00FF27DE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>Ensure optimal transportation services, through carrier alliances and relationships, to support the customers, plants, and warehouses across all business units of the company</w:t>
      </w:r>
      <w:r w:rsidR="00725E73" w:rsidRPr="009E35D5">
        <w:rPr>
          <w:rFonts w:asciiTheme="minorHAnsi" w:hAnsiTheme="minorHAnsi" w:cstheme="minorHAnsi"/>
        </w:rPr>
        <w:t xml:space="preserve"> </w:t>
      </w:r>
      <w:r w:rsidRPr="009E35D5">
        <w:rPr>
          <w:rFonts w:asciiTheme="minorHAnsi" w:hAnsiTheme="minorHAnsi" w:cstheme="minorHAnsi"/>
        </w:rPr>
        <w:t>and identify freight savings of $2.6M (10%).</w:t>
      </w:r>
      <w:r w:rsidR="006377DA" w:rsidRPr="009E35D5">
        <w:rPr>
          <w:rFonts w:asciiTheme="minorHAnsi" w:hAnsiTheme="minorHAnsi" w:cstheme="minorHAnsi"/>
        </w:rPr>
        <w:t xml:space="preserve"> </w:t>
      </w:r>
    </w:p>
    <w:p w14:paraId="0A3BE513" w14:textId="16851466" w:rsidR="009E35D5" w:rsidRPr="009E35D5" w:rsidRDefault="009E35D5" w:rsidP="009E35D5">
      <w:pPr>
        <w:pStyle w:val="JDAccomplishment"/>
        <w:numPr>
          <w:ilvl w:val="0"/>
          <w:numId w:val="10"/>
        </w:numPr>
        <w:spacing w:after="0"/>
        <w:ind w:left="648"/>
        <w:contextualSpacing w:val="0"/>
        <w:jc w:val="both"/>
        <w:rPr>
          <w:rFonts w:asciiTheme="minorHAnsi" w:hAnsiTheme="minorHAnsi" w:cstheme="minorHAnsi"/>
        </w:rPr>
      </w:pPr>
      <w:r w:rsidRPr="009E35D5">
        <w:rPr>
          <w:rFonts w:asciiTheme="minorHAnsi" w:hAnsiTheme="minorHAnsi" w:cstheme="minorHAnsi"/>
        </w:rPr>
        <w:t xml:space="preserve">Designed and implemented racking projects in </w:t>
      </w:r>
      <w:r w:rsidR="00AC4CC9">
        <w:rPr>
          <w:rFonts w:asciiTheme="minorHAnsi" w:hAnsiTheme="minorHAnsi" w:cstheme="minorHAnsi"/>
        </w:rPr>
        <w:t>two</w:t>
      </w:r>
      <w:r w:rsidRPr="009E35D5">
        <w:rPr>
          <w:rFonts w:asciiTheme="minorHAnsi" w:hAnsiTheme="minorHAnsi" w:cstheme="minorHAnsi"/>
        </w:rPr>
        <w:t xml:space="preserve"> warehouses improving overall efficiency. </w:t>
      </w:r>
    </w:p>
    <w:p w14:paraId="56996318" w14:textId="77777777" w:rsidR="00FF27DE" w:rsidRPr="009E35D5" w:rsidRDefault="00FF27DE" w:rsidP="00FF27DE">
      <w:pPr>
        <w:pStyle w:val="SectionHeading"/>
        <w:spacing w:before="0" w:after="0"/>
        <w:rPr>
          <w:rFonts w:asciiTheme="minorHAnsi" w:hAnsiTheme="minorHAnsi" w:cstheme="minorHAnsi"/>
          <w:color w:val="294433"/>
          <w:sz w:val="16"/>
          <w:szCs w:val="16"/>
        </w:rPr>
      </w:pPr>
    </w:p>
    <w:p w14:paraId="55F72A60" w14:textId="391786C1" w:rsidR="007E5D2A" w:rsidRPr="009E35D5" w:rsidRDefault="007E5D2A" w:rsidP="00FF27DE">
      <w:pPr>
        <w:pStyle w:val="SectionHeading"/>
        <w:spacing w:before="0" w:after="0"/>
        <w:rPr>
          <w:rFonts w:asciiTheme="minorHAnsi" w:hAnsiTheme="minorHAnsi" w:cstheme="minorHAnsi"/>
          <w:color w:val="294433"/>
          <w:sz w:val="26"/>
          <w:szCs w:val="26"/>
        </w:rPr>
      </w:pPr>
      <w:r w:rsidRPr="009E35D5">
        <w:rPr>
          <w:rFonts w:asciiTheme="minorHAnsi" w:hAnsiTheme="minorHAnsi" w:cstheme="minorHAnsi"/>
          <w:color w:val="294433"/>
          <w:sz w:val="26"/>
          <w:szCs w:val="26"/>
        </w:rPr>
        <w:t>Additional Experience</w:t>
      </w:r>
    </w:p>
    <w:p w14:paraId="0870DA52" w14:textId="77777777" w:rsidR="00381F31" w:rsidRPr="009E35D5" w:rsidRDefault="006834E4" w:rsidP="00FF27DE">
      <w:pPr>
        <w:pStyle w:val="JobTitleBlock"/>
        <w:spacing w:after="0"/>
        <w:ind w:left="0"/>
        <w:contextualSpacing w:val="0"/>
        <w:rPr>
          <w:rFonts w:asciiTheme="minorHAnsi" w:hAnsiTheme="minorHAnsi" w:cstheme="minorHAnsi"/>
          <w:color w:val="294433"/>
        </w:rPr>
      </w:pPr>
      <w:r w:rsidRPr="009E35D5">
        <w:rPr>
          <w:rFonts w:asciiTheme="minorHAnsi" w:hAnsiTheme="minorHAnsi" w:cstheme="minorHAnsi"/>
          <w:color w:val="294433"/>
        </w:rPr>
        <w:t>Audit Supervisor</w:t>
      </w:r>
      <w:r w:rsidR="007E5D2A" w:rsidRPr="009E35D5">
        <w:rPr>
          <w:rFonts w:asciiTheme="minorHAnsi" w:hAnsiTheme="minorHAnsi" w:cstheme="minorHAnsi"/>
          <w:b w:val="0"/>
          <w:bCs w:val="0"/>
          <w:color w:val="294433"/>
        </w:rPr>
        <w:t xml:space="preserve">, </w:t>
      </w:r>
      <w:r w:rsidR="00E03BD1" w:rsidRPr="009E35D5">
        <w:rPr>
          <w:rFonts w:asciiTheme="minorHAnsi" w:hAnsiTheme="minorHAnsi" w:cstheme="minorHAnsi"/>
          <w:b w:val="0"/>
          <w:bCs w:val="0"/>
          <w:color w:val="294433"/>
        </w:rPr>
        <w:t>Halliburton</w:t>
      </w:r>
      <w:r w:rsidRPr="009E35D5">
        <w:rPr>
          <w:rFonts w:asciiTheme="minorHAnsi" w:hAnsiTheme="minorHAnsi" w:cstheme="minorHAnsi"/>
          <w:b w:val="0"/>
          <w:bCs w:val="0"/>
          <w:color w:val="294433"/>
        </w:rPr>
        <w:t>, Houston, TX</w:t>
      </w:r>
    </w:p>
    <w:p w14:paraId="7A14AA0D" w14:textId="1A701182" w:rsidR="000C4F66" w:rsidRPr="009E35D5" w:rsidRDefault="00A826EB" w:rsidP="00560190">
      <w:pPr>
        <w:pStyle w:val="JobTitleBlock"/>
        <w:spacing w:after="0"/>
        <w:ind w:left="0"/>
        <w:contextualSpacing w:val="0"/>
        <w:rPr>
          <w:rFonts w:cstheme="minorHAnsi"/>
          <w:b w:val="0"/>
          <w:bCs w:val="0"/>
          <w:color w:val="294433"/>
          <w:sz w:val="16"/>
          <w:szCs w:val="16"/>
        </w:rPr>
      </w:pPr>
      <w:r w:rsidRPr="009E35D5">
        <w:rPr>
          <w:rFonts w:asciiTheme="minorHAnsi" w:hAnsiTheme="minorHAnsi" w:cstheme="minorHAnsi"/>
          <w:color w:val="294433"/>
        </w:rPr>
        <w:t>Financial Accountant</w:t>
      </w:r>
      <w:r w:rsidRPr="009E35D5">
        <w:rPr>
          <w:rFonts w:asciiTheme="minorHAnsi" w:hAnsiTheme="minorHAnsi" w:cstheme="minorHAnsi"/>
          <w:b w:val="0"/>
          <w:bCs w:val="0"/>
          <w:color w:val="294433"/>
        </w:rPr>
        <w:t>, Reliant Energy, Houston, TX</w:t>
      </w:r>
    </w:p>
    <w:p w14:paraId="406FE4A3" w14:textId="77777777" w:rsidR="00FF27DE" w:rsidRPr="009E35D5" w:rsidRDefault="00FF27DE" w:rsidP="00FF27DE">
      <w:pPr>
        <w:pStyle w:val="SectionHeading"/>
        <w:spacing w:before="0" w:after="0"/>
        <w:rPr>
          <w:rFonts w:asciiTheme="minorHAnsi" w:hAnsiTheme="minorHAnsi" w:cstheme="minorHAnsi"/>
          <w:color w:val="294433"/>
          <w:sz w:val="16"/>
          <w:szCs w:val="16"/>
        </w:rPr>
      </w:pPr>
    </w:p>
    <w:p w14:paraId="33E479C6" w14:textId="557B6669" w:rsidR="007E5D2A" w:rsidRPr="009E35D5" w:rsidRDefault="00E03BD1" w:rsidP="00FF27DE">
      <w:pPr>
        <w:pStyle w:val="SectionHeading"/>
        <w:spacing w:before="0" w:after="0"/>
        <w:rPr>
          <w:rFonts w:asciiTheme="minorHAnsi" w:hAnsiTheme="minorHAnsi" w:cstheme="minorHAnsi"/>
          <w:color w:val="294433"/>
          <w:sz w:val="26"/>
          <w:szCs w:val="26"/>
        </w:rPr>
      </w:pPr>
      <w:r w:rsidRPr="009E35D5">
        <w:rPr>
          <w:rFonts w:asciiTheme="minorHAnsi" w:hAnsiTheme="minorHAnsi" w:cstheme="minorHAnsi"/>
          <w:color w:val="294433"/>
          <w:sz w:val="26"/>
          <w:szCs w:val="26"/>
        </w:rPr>
        <w:t>E</w:t>
      </w:r>
      <w:r w:rsidR="007E5D2A" w:rsidRPr="009E35D5">
        <w:rPr>
          <w:rFonts w:asciiTheme="minorHAnsi" w:hAnsiTheme="minorHAnsi" w:cstheme="minorHAnsi"/>
          <w:color w:val="294433"/>
          <w:sz w:val="26"/>
          <w:szCs w:val="26"/>
        </w:rPr>
        <w:t>ducation</w:t>
      </w:r>
      <w:r w:rsidR="00040D55" w:rsidRPr="009E35D5">
        <w:rPr>
          <w:rFonts w:asciiTheme="minorHAnsi" w:hAnsiTheme="minorHAnsi" w:cstheme="minorHAnsi"/>
          <w:color w:val="294433"/>
          <w:sz w:val="26"/>
          <w:szCs w:val="26"/>
        </w:rPr>
        <w:t xml:space="preserve"> &amp; Professional Development</w:t>
      </w:r>
    </w:p>
    <w:p w14:paraId="7A450905" w14:textId="5F558A0E" w:rsidR="007E5D2A" w:rsidRPr="009E35D5" w:rsidRDefault="00976775" w:rsidP="00FF27DE">
      <w:pPr>
        <w:pStyle w:val="EduDegree"/>
        <w:jc w:val="both"/>
        <w:rPr>
          <w:rFonts w:asciiTheme="minorHAnsi" w:hAnsiTheme="minorHAnsi" w:cstheme="minorHAnsi"/>
          <w:color w:val="294433"/>
          <w:spacing w:val="-4"/>
        </w:rPr>
      </w:pPr>
      <w:r w:rsidRPr="009E35D5">
        <w:rPr>
          <w:rFonts w:asciiTheme="minorHAnsi" w:hAnsiTheme="minorHAnsi" w:cstheme="minorHAnsi"/>
          <w:color w:val="294433"/>
          <w:spacing w:val="-4"/>
        </w:rPr>
        <w:t>Bachelor of Commerce &amp; Administration in Accounting and Management of Information Systems</w:t>
      </w:r>
      <w:r w:rsidR="00FA54DA" w:rsidRPr="009E35D5">
        <w:rPr>
          <w:rFonts w:asciiTheme="minorHAnsi" w:hAnsiTheme="minorHAnsi" w:cstheme="minorHAnsi"/>
          <w:color w:val="294433"/>
          <w:spacing w:val="-4"/>
        </w:rPr>
        <w:t xml:space="preserve"> – </w:t>
      </w:r>
      <w:r w:rsidR="00A20417" w:rsidRPr="009E35D5">
        <w:rPr>
          <w:rFonts w:asciiTheme="minorHAnsi" w:hAnsiTheme="minorHAnsi" w:cstheme="minorHAnsi"/>
          <w:b w:val="0"/>
          <w:bCs w:val="0"/>
          <w:color w:val="auto"/>
          <w:spacing w:val="-4"/>
        </w:rPr>
        <w:t>Victoria University</w:t>
      </w:r>
      <w:r w:rsidR="00FB040A" w:rsidRPr="009E35D5">
        <w:rPr>
          <w:rFonts w:asciiTheme="minorHAnsi" w:hAnsiTheme="minorHAnsi" w:cstheme="minorHAnsi"/>
          <w:b w:val="0"/>
          <w:bCs w:val="0"/>
          <w:color w:val="auto"/>
          <w:spacing w:val="-4"/>
        </w:rPr>
        <w:t xml:space="preserve"> of Wellington</w:t>
      </w:r>
      <w:r w:rsidR="00A20417" w:rsidRPr="009E35D5">
        <w:rPr>
          <w:rFonts w:asciiTheme="minorHAnsi" w:hAnsiTheme="minorHAnsi" w:cstheme="minorHAnsi"/>
          <w:b w:val="0"/>
          <w:bCs w:val="0"/>
          <w:color w:val="auto"/>
          <w:spacing w:val="-4"/>
        </w:rPr>
        <w:t>, New Zealand</w:t>
      </w:r>
    </w:p>
    <w:p w14:paraId="7A9313B8" w14:textId="236652AA" w:rsidR="006E2186" w:rsidRPr="009E35D5" w:rsidRDefault="00982C0C" w:rsidP="00FF27DE">
      <w:pPr>
        <w:pStyle w:val="EduDegree"/>
        <w:rPr>
          <w:rFonts w:asciiTheme="minorHAnsi" w:hAnsiTheme="minorHAnsi" w:cstheme="minorHAnsi"/>
          <w:color w:val="294433"/>
        </w:rPr>
      </w:pPr>
      <w:r w:rsidRPr="009E35D5">
        <w:rPr>
          <w:rFonts w:asciiTheme="minorHAnsi" w:hAnsiTheme="minorHAnsi" w:cstheme="minorHAnsi"/>
          <w:color w:val="294433"/>
        </w:rPr>
        <w:t xml:space="preserve">New Zealand Diploma in Business </w:t>
      </w:r>
      <w:r w:rsidR="006E2186" w:rsidRPr="009E35D5">
        <w:rPr>
          <w:rFonts w:asciiTheme="minorHAnsi" w:hAnsiTheme="minorHAnsi" w:cstheme="minorHAnsi"/>
          <w:color w:val="294433"/>
        </w:rPr>
        <w:t xml:space="preserve">Studies – </w:t>
      </w:r>
      <w:r w:rsidR="00F23FAA" w:rsidRPr="009E35D5">
        <w:rPr>
          <w:rFonts w:asciiTheme="minorHAnsi" w:hAnsiTheme="minorHAnsi" w:cstheme="minorHAnsi"/>
          <w:b w:val="0"/>
          <w:bCs w:val="0"/>
          <w:color w:val="294433"/>
        </w:rPr>
        <w:t>Wellington Polytechnic, New Zealand</w:t>
      </w:r>
    </w:p>
    <w:p w14:paraId="1665DAF4" w14:textId="77777777" w:rsidR="00FF27DE" w:rsidRPr="009E35D5" w:rsidRDefault="00FF27DE" w:rsidP="00FF27DE">
      <w:pPr>
        <w:pStyle w:val="SectionHeading"/>
        <w:spacing w:before="0" w:after="0"/>
        <w:rPr>
          <w:rFonts w:asciiTheme="minorHAnsi" w:hAnsiTheme="minorHAnsi" w:cstheme="minorHAnsi"/>
          <w:color w:val="294433"/>
          <w:sz w:val="14"/>
          <w:szCs w:val="14"/>
        </w:rPr>
      </w:pPr>
    </w:p>
    <w:p w14:paraId="4AA622E7" w14:textId="05CCA1BF" w:rsidR="007E5D2A" w:rsidRPr="009E35D5" w:rsidRDefault="00031A9B" w:rsidP="00FF27DE">
      <w:pPr>
        <w:pStyle w:val="SectionHeading"/>
        <w:spacing w:before="0" w:after="0"/>
        <w:rPr>
          <w:rFonts w:asciiTheme="minorHAnsi" w:hAnsiTheme="minorHAnsi" w:cstheme="minorHAnsi"/>
          <w:color w:val="294433"/>
          <w:sz w:val="26"/>
          <w:szCs w:val="26"/>
        </w:rPr>
      </w:pPr>
      <w:r w:rsidRPr="009E35D5">
        <w:rPr>
          <w:rFonts w:asciiTheme="minorHAnsi" w:hAnsiTheme="minorHAnsi" w:cstheme="minorHAnsi"/>
          <w:color w:val="294433"/>
          <w:sz w:val="26"/>
          <w:szCs w:val="26"/>
        </w:rPr>
        <w:t xml:space="preserve">Honors </w:t>
      </w:r>
      <w:r w:rsidR="00D31A74" w:rsidRPr="009E35D5">
        <w:rPr>
          <w:rFonts w:asciiTheme="minorHAnsi" w:hAnsiTheme="minorHAnsi" w:cstheme="minorHAnsi"/>
          <w:color w:val="294433"/>
          <w:sz w:val="26"/>
          <w:szCs w:val="26"/>
        </w:rPr>
        <w:t>&amp; Awards</w:t>
      </w:r>
    </w:p>
    <w:p w14:paraId="3E68A9DE" w14:textId="02103D80" w:rsidR="000B11EC" w:rsidRPr="009E35D5" w:rsidRDefault="009C3C4D" w:rsidP="00FF27DE">
      <w:pPr>
        <w:rPr>
          <w:rFonts w:cstheme="minorHAnsi"/>
          <w:sz w:val="20"/>
          <w:szCs w:val="20"/>
        </w:rPr>
      </w:pPr>
      <w:r w:rsidRPr="009E35D5">
        <w:rPr>
          <w:rFonts w:cstheme="minorHAnsi"/>
          <w:sz w:val="20"/>
          <w:szCs w:val="20"/>
        </w:rPr>
        <w:t>President’s Leadership Excellence Program (PLEP), Mays Business School, Texas A&amp;M University</w:t>
      </w:r>
    </w:p>
    <w:p w14:paraId="1AF77664" w14:textId="3B53219F" w:rsidR="005D0984" w:rsidRPr="009E35D5" w:rsidRDefault="005D0984" w:rsidP="00FF27DE">
      <w:pPr>
        <w:rPr>
          <w:rFonts w:cstheme="minorHAnsi"/>
          <w:sz w:val="20"/>
          <w:szCs w:val="20"/>
        </w:rPr>
      </w:pPr>
      <w:r w:rsidRPr="009E35D5">
        <w:rPr>
          <w:rFonts w:cstheme="minorHAnsi"/>
          <w:sz w:val="20"/>
          <w:szCs w:val="20"/>
        </w:rPr>
        <w:t>Business Leadership Development (BLD) Program Level</w:t>
      </w:r>
      <w:r w:rsidR="00645727" w:rsidRPr="009E35D5">
        <w:rPr>
          <w:rFonts w:cstheme="minorHAnsi"/>
          <w:sz w:val="20"/>
          <w:szCs w:val="20"/>
        </w:rPr>
        <w:t xml:space="preserve"> </w:t>
      </w:r>
      <w:r w:rsidRPr="009E35D5">
        <w:rPr>
          <w:rFonts w:cstheme="minorHAnsi"/>
          <w:sz w:val="20"/>
          <w:szCs w:val="20"/>
        </w:rPr>
        <w:t>I, II &amp; III</w:t>
      </w:r>
      <w:r w:rsidR="00D94879" w:rsidRPr="009E35D5">
        <w:rPr>
          <w:rFonts w:cstheme="minorHAnsi"/>
          <w:sz w:val="20"/>
          <w:szCs w:val="20"/>
        </w:rPr>
        <w:t xml:space="preserve">, </w:t>
      </w:r>
      <w:r w:rsidR="00645727" w:rsidRPr="009E35D5">
        <w:rPr>
          <w:rFonts w:cstheme="minorHAnsi"/>
          <w:sz w:val="20"/>
          <w:szCs w:val="20"/>
        </w:rPr>
        <w:t>Mays Business School, Texas A&amp;M University</w:t>
      </w:r>
    </w:p>
    <w:p w14:paraId="13B54EE2" w14:textId="14A92C10" w:rsidR="00FF27DE" w:rsidRPr="0058113A" w:rsidRDefault="00A06720" w:rsidP="00D01ACB">
      <w:pPr>
        <w:rPr>
          <w:rFonts w:cstheme="minorHAnsi"/>
          <w:color w:val="294433"/>
          <w:sz w:val="16"/>
          <w:szCs w:val="16"/>
        </w:rPr>
      </w:pPr>
      <w:r w:rsidRPr="009E35D5">
        <w:rPr>
          <w:rFonts w:cstheme="minorHAnsi"/>
          <w:sz w:val="20"/>
          <w:szCs w:val="20"/>
        </w:rPr>
        <w:t xml:space="preserve">Most Valuable Person (MVP) Award for Asia Pacific Supply Chain </w:t>
      </w:r>
      <w:r w:rsidR="002921B0" w:rsidRPr="009E35D5">
        <w:rPr>
          <w:rFonts w:cstheme="minorHAnsi"/>
          <w:sz w:val="20"/>
          <w:szCs w:val="20"/>
        </w:rPr>
        <w:t>f</w:t>
      </w:r>
      <w:r w:rsidRPr="009E35D5">
        <w:rPr>
          <w:rFonts w:cstheme="minorHAnsi"/>
          <w:sz w:val="20"/>
          <w:szCs w:val="20"/>
        </w:rPr>
        <w:t>or 3 Consecutive Years</w:t>
      </w:r>
      <w:r w:rsidR="00D01ACB" w:rsidRPr="009E35D5">
        <w:rPr>
          <w:rFonts w:cstheme="minorHAnsi"/>
          <w:sz w:val="20"/>
          <w:szCs w:val="20"/>
        </w:rPr>
        <w:t>.</w:t>
      </w:r>
    </w:p>
    <w:sectPr w:rsidR="00FF27DE" w:rsidRPr="0058113A" w:rsidSect="0058113A">
      <w:pgSz w:w="12240" w:h="15840" w:code="1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7CD4F" w14:textId="77777777" w:rsidR="0091224C" w:rsidRDefault="0091224C" w:rsidP="00641691">
      <w:r>
        <w:separator/>
      </w:r>
    </w:p>
  </w:endnote>
  <w:endnote w:type="continuationSeparator" w:id="0">
    <w:p w14:paraId="21CEAD49" w14:textId="77777777" w:rsidR="0091224C" w:rsidRDefault="0091224C" w:rsidP="0064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mbria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D9FEC" w14:textId="77777777" w:rsidR="0091224C" w:rsidRDefault="0091224C" w:rsidP="00641691">
      <w:r>
        <w:separator/>
      </w:r>
    </w:p>
  </w:footnote>
  <w:footnote w:type="continuationSeparator" w:id="0">
    <w:p w14:paraId="7CC0979F" w14:textId="77777777" w:rsidR="0091224C" w:rsidRDefault="0091224C" w:rsidP="0064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4B8A"/>
    <w:multiLevelType w:val="multilevel"/>
    <w:tmpl w:val="55CE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10C7F"/>
    <w:multiLevelType w:val="multilevel"/>
    <w:tmpl w:val="0762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E1629"/>
    <w:multiLevelType w:val="multilevel"/>
    <w:tmpl w:val="A65E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61354"/>
    <w:multiLevelType w:val="hybridMultilevel"/>
    <w:tmpl w:val="5B786D6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25CD5C7C"/>
    <w:multiLevelType w:val="multilevel"/>
    <w:tmpl w:val="9340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7034ED"/>
    <w:multiLevelType w:val="multilevel"/>
    <w:tmpl w:val="4D68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3090D"/>
    <w:multiLevelType w:val="hybridMultilevel"/>
    <w:tmpl w:val="0946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B52CC"/>
    <w:multiLevelType w:val="multilevel"/>
    <w:tmpl w:val="3046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321BF7"/>
    <w:multiLevelType w:val="hybridMultilevel"/>
    <w:tmpl w:val="367E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E39AA"/>
    <w:multiLevelType w:val="hybridMultilevel"/>
    <w:tmpl w:val="D608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E7B12"/>
    <w:multiLevelType w:val="hybridMultilevel"/>
    <w:tmpl w:val="2E922352"/>
    <w:lvl w:ilvl="0" w:tplc="7010A204">
      <w:start w:val="1"/>
      <w:numFmt w:val="bullet"/>
      <w:pStyle w:val="AdditionalLis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0718"/>
    <w:multiLevelType w:val="multilevel"/>
    <w:tmpl w:val="8826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9504BA"/>
    <w:multiLevelType w:val="hybridMultilevel"/>
    <w:tmpl w:val="82D0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47EB0"/>
    <w:multiLevelType w:val="hybridMultilevel"/>
    <w:tmpl w:val="0F20A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90171E"/>
    <w:multiLevelType w:val="hybridMultilevel"/>
    <w:tmpl w:val="2880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5667D"/>
    <w:multiLevelType w:val="multilevel"/>
    <w:tmpl w:val="0F54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EA2D1D"/>
    <w:multiLevelType w:val="multilevel"/>
    <w:tmpl w:val="DC7A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8E0550"/>
    <w:multiLevelType w:val="hybridMultilevel"/>
    <w:tmpl w:val="06C072E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8" w15:restartNumberingAfterBreak="0">
    <w:nsid w:val="64DC195D"/>
    <w:multiLevelType w:val="multilevel"/>
    <w:tmpl w:val="5CFA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F24362"/>
    <w:multiLevelType w:val="multilevel"/>
    <w:tmpl w:val="AD22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C53884"/>
    <w:multiLevelType w:val="hybridMultilevel"/>
    <w:tmpl w:val="DDF6E2C2"/>
    <w:lvl w:ilvl="0" w:tplc="B4F82DC4">
      <w:start w:val="1"/>
      <w:numFmt w:val="bullet"/>
      <w:pStyle w:val="AoE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6CAA0BEF"/>
    <w:multiLevelType w:val="multilevel"/>
    <w:tmpl w:val="287E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BF06D1"/>
    <w:multiLevelType w:val="hybridMultilevel"/>
    <w:tmpl w:val="4E90497E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" w15:restartNumberingAfterBreak="0">
    <w:nsid w:val="76D80CB4"/>
    <w:multiLevelType w:val="hybridMultilevel"/>
    <w:tmpl w:val="091E3F9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4" w15:restartNumberingAfterBreak="0">
    <w:nsid w:val="78023F03"/>
    <w:multiLevelType w:val="multilevel"/>
    <w:tmpl w:val="15E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404573">
    <w:abstractNumId w:val="10"/>
  </w:num>
  <w:num w:numId="2" w16cid:durableId="668408770">
    <w:abstractNumId w:val="10"/>
  </w:num>
  <w:num w:numId="3" w16cid:durableId="1782451962">
    <w:abstractNumId w:val="20"/>
  </w:num>
  <w:num w:numId="4" w16cid:durableId="1251964232">
    <w:abstractNumId w:val="3"/>
  </w:num>
  <w:num w:numId="5" w16cid:durableId="1957635084">
    <w:abstractNumId w:val="22"/>
  </w:num>
  <w:num w:numId="6" w16cid:durableId="13961445">
    <w:abstractNumId w:val="23"/>
  </w:num>
  <w:num w:numId="7" w16cid:durableId="1866600368">
    <w:abstractNumId w:val="17"/>
  </w:num>
  <w:num w:numId="8" w16cid:durableId="1547330778">
    <w:abstractNumId w:val="14"/>
  </w:num>
  <w:num w:numId="9" w16cid:durableId="1548880550">
    <w:abstractNumId w:val="12"/>
  </w:num>
  <w:num w:numId="10" w16cid:durableId="1550262555">
    <w:abstractNumId w:val="6"/>
  </w:num>
  <w:num w:numId="11" w16cid:durableId="2114400188">
    <w:abstractNumId w:val="19"/>
  </w:num>
  <w:num w:numId="12" w16cid:durableId="1947345097">
    <w:abstractNumId w:val="13"/>
  </w:num>
  <w:num w:numId="13" w16cid:durableId="1651129806">
    <w:abstractNumId w:val="11"/>
  </w:num>
  <w:num w:numId="14" w16cid:durableId="1551579075">
    <w:abstractNumId w:val="4"/>
  </w:num>
  <w:num w:numId="15" w16cid:durableId="2060863838">
    <w:abstractNumId w:val="7"/>
  </w:num>
  <w:num w:numId="16" w16cid:durableId="571281823">
    <w:abstractNumId w:val="2"/>
  </w:num>
  <w:num w:numId="17" w16cid:durableId="1293293031">
    <w:abstractNumId w:val="5"/>
  </w:num>
  <w:num w:numId="18" w16cid:durableId="1142119509">
    <w:abstractNumId w:val="1"/>
  </w:num>
  <w:num w:numId="19" w16cid:durableId="1838687489">
    <w:abstractNumId w:val="24"/>
  </w:num>
  <w:num w:numId="20" w16cid:durableId="1554996971">
    <w:abstractNumId w:val="8"/>
  </w:num>
  <w:num w:numId="21" w16cid:durableId="582109470">
    <w:abstractNumId w:val="16"/>
  </w:num>
  <w:num w:numId="22" w16cid:durableId="562372915">
    <w:abstractNumId w:val="15"/>
  </w:num>
  <w:num w:numId="23" w16cid:durableId="919144804">
    <w:abstractNumId w:val="18"/>
  </w:num>
  <w:num w:numId="24" w16cid:durableId="384060996">
    <w:abstractNumId w:val="9"/>
  </w:num>
  <w:num w:numId="25" w16cid:durableId="436365038">
    <w:abstractNumId w:val="0"/>
  </w:num>
  <w:num w:numId="26" w16cid:durableId="2444561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34"/>
    <w:rsid w:val="00002DC6"/>
    <w:rsid w:val="00010662"/>
    <w:rsid w:val="00011B8E"/>
    <w:rsid w:val="00013386"/>
    <w:rsid w:val="000158D9"/>
    <w:rsid w:val="00016BA3"/>
    <w:rsid w:val="00016EDB"/>
    <w:rsid w:val="000311E1"/>
    <w:rsid w:val="00031A9B"/>
    <w:rsid w:val="00040D55"/>
    <w:rsid w:val="00046D56"/>
    <w:rsid w:val="00082121"/>
    <w:rsid w:val="00082442"/>
    <w:rsid w:val="00082DD3"/>
    <w:rsid w:val="00084879"/>
    <w:rsid w:val="000878D1"/>
    <w:rsid w:val="0009005E"/>
    <w:rsid w:val="00094606"/>
    <w:rsid w:val="000A6F3B"/>
    <w:rsid w:val="000B0A0B"/>
    <w:rsid w:val="000B11EC"/>
    <w:rsid w:val="000B37F6"/>
    <w:rsid w:val="000C29AC"/>
    <w:rsid w:val="000C3D46"/>
    <w:rsid w:val="000C47CE"/>
    <w:rsid w:val="000C4F66"/>
    <w:rsid w:val="000D22BE"/>
    <w:rsid w:val="000D53FC"/>
    <w:rsid w:val="000D6B49"/>
    <w:rsid w:val="000E15BE"/>
    <w:rsid w:val="000E2C22"/>
    <w:rsid w:val="000E4B73"/>
    <w:rsid w:val="000F0AF6"/>
    <w:rsid w:val="000F0F61"/>
    <w:rsid w:val="000F1407"/>
    <w:rsid w:val="00102EEB"/>
    <w:rsid w:val="00104B1B"/>
    <w:rsid w:val="001050AD"/>
    <w:rsid w:val="00106C5B"/>
    <w:rsid w:val="00110782"/>
    <w:rsid w:val="00110CB0"/>
    <w:rsid w:val="00113ADC"/>
    <w:rsid w:val="001157D5"/>
    <w:rsid w:val="00126DB0"/>
    <w:rsid w:val="001402E3"/>
    <w:rsid w:val="00143754"/>
    <w:rsid w:val="00143B06"/>
    <w:rsid w:val="0016140E"/>
    <w:rsid w:val="00163BA0"/>
    <w:rsid w:val="00164958"/>
    <w:rsid w:val="00164C17"/>
    <w:rsid w:val="001667BB"/>
    <w:rsid w:val="00166EB5"/>
    <w:rsid w:val="00171EFF"/>
    <w:rsid w:val="0018689C"/>
    <w:rsid w:val="0019036E"/>
    <w:rsid w:val="00196043"/>
    <w:rsid w:val="001A55C1"/>
    <w:rsid w:val="001B201D"/>
    <w:rsid w:val="001B78EE"/>
    <w:rsid w:val="001C340B"/>
    <w:rsid w:val="001D5000"/>
    <w:rsid w:val="001D622B"/>
    <w:rsid w:val="001E0833"/>
    <w:rsid w:val="001E2D61"/>
    <w:rsid w:val="001E32E5"/>
    <w:rsid w:val="001F0247"/>
    <w:rsid w:val="001F08CF"/>
    <w:rsid w:val="001F0EBB"/>
    <w:rsid w:val="001F2F71"/>
    <w:rsid w:val="00210D8F"/>
    <w:rsid w:val="00220F5D"/>
    <w:rsid w:val="00223013"/>
    <w:rsid w:val="002326E7"/>
    <w:rsid w:val="00245531"/>
    <w:rsid w:val="00260264"/>
    <w:rsid w:val="00264E33"/>
    <w:rsid w:val="002705BE"/>
    <w:rsid w:val="002738AE"/>
    <w:rsid w:val="0027651F"/>
    <w:rsid w:val="00281885"/>
    <w:rsid w:val="00282139"/>
    <w:rsid w:val="00284961"/>
    <w:rsid w:val="00287B58"/>
    <w:rsid w:val="002921B0"/>
    <w:rsid w:val="002927C8"/>
    <w:rsid w:val="002935FA"/>
    <w:rsid w:val="00294A2D"/>
    <w:rsid w:val="002A695C"/>
    <w:rsid w:val="002A7483"/>
    <w:rsid w:val="002B78E9"/>
    <w:rsid w:val="002C631E"/>
    <w:rsid w:val="002C72CC"/>
    <w:rsid w:val="002D2B5B"/>
    <w:rsid w:val="002E5B86"/>
    <w:rsid w:val="002E79A8"/>
    <w:rsid w:val="002E7F8A"/>
    <w:rsid w:val="002F49D3"/>
    <w:rsid w:val="00310D67"/>
    <w:rsid w:val="003132E8"/>
    <w:rsid w:val="00316391"/>
    <w:rsid w:val="00332DD2"/>
    <w:rsid w:val="003346F1"/>
    <w:rsid w:val="0033486E"/>
    <w:rsid w:val="003379D4"/>
    <w:rsid w:val="00341509"/>
    <w:rsid w:val="00346665"/>
    <w:rsid w:val="00347377"/>
    <w:rsid w:val="00361AC3"/>
    <w:rsid w:val="00362E0F"/>
    <w:rsid w:val="003654B5"/>
    <w:rsid w:val="00367169"/>
    <w:rsid w:val="00367A93"/>
    <w:rsid w:val="00381F31"/>
    <w:rsid w:val="003A3A64"/>
    <w:rsid w:val="003A42EB"/>
    <w:rsid w:val="003B0AFE"/>
    <w:rsid w:val="003B1C2C"/>
    <w:rsid w:val="003B3045"/>
    <w:rsid w:val="003C6863"/>
    <w:rsid w:val="003C697C"/>
    <w:rsid w:val="003C6B0C"/>
    <w:rsid w:val="003D3296"/>
    <w:rsid w:val="003E03CB"/>
    <w:rsid w:val="003E14EE"/>
    <w:rsid w:val="003F2E75"/>
    <w:rsid w:val="00400323"/>
    <w:rsid w:val="0040118B"/>
    <w:rsid w:val="00402924"/>
    <w:rsid w:val="00407CAE"/>
    <w:rsid w:val="0041389F"/>
    <w:rsid w:val="004161D9"/>
    <w:rsid w:val="00416354"/>
    <w:rsid w:val="00420F9D"/>
    <w:rsid w:val="00425F95"/>
    <w:rsid w:val="004342FA"/>
    <w:rsid w:val="00441043"/>
    <w:rsid w:val="00446566"/>
    <w:rsid w:val="00455E6D"/>
    <w:rsid w:val="004569A0"/>
    <w:rsid w:val="004571CA"/>
    <w:rsid w:val="00457EE9"/>
    <w:rsid w:val="00467DE7"/>
    <w:rsid w:val="00470CDB"/>
    <w:rsid w:val="00474E38"/>
    <w:rsid w:val="004759D1"/>
    <w:rsid w:val="004771D3"/>
    <w:rsid w:val="00485084"/>
    <w:rsid w:val="00492EFF"/>
    <w:rsid w:val="00494052"/>
    <w:rsid w:val="004B03A8"/>
    <w:rsid w:val="004B0850"/>
    <w:rsid w:val="004B4ACC"/>
    <w:rsid w:val="004B5B9A"/>
    <w:rsid w:val="004C6AE4"/>
    <w:rsid w:val="004C7AE0"/>
    <w:rsid w:val="004D11AE"/>
    <w:rsid w:val="004D20F6"/>
    <w:rsid w:val="004D27CA"/>
    <w:rsid w:val="004E084D"/>
    <w:rsid w:val="004E36E1"/>
    <w:rsid w:val="004E6DB8"/>
    <w:rsid w:val="004F115A"/>
    <w:rsid w:val="004F4D55"/>
    <w:rsid w:val="004F6B99"/>
    <w:rsid w:val="005019B4"/>
    <w:rsid w:val="00527A78"/>
    <w:rsid w:val="00535C86"/>
    <w:rsid w:val="00536585"/>
    <w:rsid w:val="0053700E"/>
    <w:rsid w:val="0054370D"/>
    <w:rsid w:val="00543965"/>
    <w:rsid w:val="00556FC3"/>
    <w:rsid w:val="00560190"/>
    <w:rsid w:val="00563294"/>
    <w:rsid w:val="00563F0F"/>
    <w:rsid w:val="00574512"/>
    <w:rsid w:val="0058113A"/>
    <w:rsid w:val="00584112"/>
    <w:rsid w:val="00587BFC"/>
    <w:rsid w:val="00590397"/>
    <w:rsid w:val="00596FBB"/>
    <w:rsid w:val="005A5493"/>
    <w:rsid w:val="005D08DE"/>
    <w:rsid w:val="005D0984"/>
    <w:rsid w:val="005D28CC"/>
    <w:rsid w:val="005E07A7"/>
    <w:rsid w:val="005E14F9"/>
    <w:rsid w:val="005E320E"/>
    <w:rsid w:val="005E46B1"/>
    <w:rsid w:val="005F1929"/>
    <w:rsid w:val="005F302A"/>
    <w:rsid w:val="005F4636"/>
    <w:rsid w:val="005F5A3F"/>
    <w:rsid w:val="005F79B3"/>
    <w:rsid w:val="00602665"/>
    <w:rsid w:val="00612F3F"/>
    <w:rsid w:val="006131F9"/>
    <w:rsid w:val="006148D8"/>
    <w:rsid w:val="00615933"/>
    <w:rsid w:val="00621C5E"/>
    <w:rsid w:val="00627CF1"/>
    <w:rsid w:val="006325B5"/>
    <w:rsid w:val="00636856"/>
    <w:rsid w:val="006377DA"/>
    <w:rsid w:val="00641691"/>
    <w:rsid w:val="0064350A"/>
    <w:rsid w:val="00645727"/>
    <w:rsid w:val="00647421"/>
    <w:rsid w:val="006509F8"/>
    <w:rsid w:val="006512FA"/>
    <w:rsid w:val="006617F2"/>
    <w:rsid w:val="00662A2F"/>
    <w:rsid w:val="006645A7"/>
    <w:rsid w:val="006655E1"/>
    <w:rsid w:val="00677507"/>
    <w:rsid w:val="006823F3"/>
    <w:rsid w:val="006834E4"/>
    <w:rsid w:val="00684AA6"/>
    <w:rsid w:val="00691D1F"/>
    <w:rsid w:val="00691F7D"/>
    <w:rsid w:val="00692A74"/>
    <w:rsid w:val="00696820"/>
    <w:rsid w:val="006A4204"/>
    <w:rsid w:val="006A4CD6"/>
    <w:rsid w:val="006A5069"/>
    <w:rsid w:val="006C5B97"/>
    <w:rsid w:val="006C5EAF"/>
    <w:rsid w:val="006D27DF"/>
    <w:rsid w:val="006D4A22"/>
    <w:rsid w:val="006E2186"/>
    <w:rsid w:val="006E6A84"/>
    <w:rsid w:val="006F3C58"/>
    <w:rsid w:val="00705AA2"/>
    <w:rsid w:val="0071040E"/>
    <w:rsid w:val="007116EA"/>
    <w:rsid w:val="0071404D"/>
    <w:rsid w:val="00720E61"/>
    <w:rsid w:val="00724DD5"/>
    <w:rsid w:val="00725E73"/>
    <w:rsid w:val="00727D44"/>
    <w:rsid w:val="0073097F"/>
    <w:rsid w:val="00732E31"/>
    <w:rsid w:val="0073330E"/>
    <w:rsid w:val="007451D6"/>
    <w:rsid w:val="00750726"/>
    <w:rsid w:val="00753DED"/>
    <w:rsid w:val="00755445"/>
    <w:rsid w:val="00761CCD"/>
    <w:rsid w:val="00773B03"/>
    <w:rsid w:val="00780B92"/>
    <w:rsid w:val="007822D4"/>
    <w:rsid w:val="00782C27"/>
    <w:rsid w:val="007837DD"/>
    <w:rsid w:val="00786114"/>
    <w:rsid w:val="007920F1"/>
    <w:rsid w:val="00795380"/>
    <w:rsid w:val="007A3DEE"/>
    <w:rsid w:val="007C0DA6"/>
    <w:rsid w:val="007C44C9"/>
    <w:rsid w:val="007C5E53"/>
    <w:rsid w:val="007C5F19"/>
    <w:rsid w:val="007C6A3A"/>
    <w:rsid w:val="007D1B79"/>
    <w:rsid w:val="007D4FCE"/>
    <w:rsid w:val="007D5D09"/>
    <w:rsid w:val="007E5A25"/>
    <w:rsid w:val="007E5D2A"/>
    <w:rsid w:val="007F03A1"/>
    <w:rsid w:val="00805E03"/>
    <w:rsid w:val="00811EEB"/>
    <w:rsid w:val="00814846"/>
    <w:rsid w:val="00821875"/>
    <w:rsid w:val="00831D47"/>
    <w:rsid w:val="00834097"/>
    <w:rsid w:val="008402D5"/>
    <w:rsid w:val="00840C54"/>
    <w:rsid w:val="00841C1A"/>
    <w:rsid w:val="00844AF9"/>
    <w:rsid w:val="008462EE"/>
    <w:rsid w:val="00864538"/>
    <w:rsid w:val="008735DD"/>
    <w:rsid w:val="00876593"/>
    <w:rsid w:val="00891D1F"/>
    <w:rsid w:val="00891F56"/>
    <w:rsid w:val="00893CC6"/>
    <w:rsid w:val="008A0EC3"/>
    <w:rsid w:val="008A6250"/>
    <w:rsid w:val="008A6948"/>
    <w:rsid w:val="008B1864"/>
    <w:rsid w:val="008B3189"/>
    <w:rsid w:val="008D51A8"/>
    <w:rsid w:val="008D7D5C"/>
    <w:rsid w:val="008F6FFB"/>
    <w:rsid w:val="00905DB6"/>
    <w:rsid w:val="009078C8"/>
    <w:rsid w:val="0091224C"/>
    <w:rsid w:val="009139EC"/>
    <w:rsid w:val="00915733"/>
    <w:rsid w:val="00917892"/>
    <w:rsid w:val="009205DF"/>
    <w:rsid w:val="00921F46"/>
    <w:rsid w:val="0092223C"/>
    <w:rsid w:val="009229C6"/>
    <w:rsid w:val="009342BC"/>
    <w:rsid w:val="00944891"/>
    <w:rsid w:val="00947702"/>
    <w:rsid w:val="009507D6"/>
    <w:rsid w:val="009603D1"/>
    <w:rsid w:val="00964C84"/>
    <w:rsid w:val="00970830"/>
    <w:rsid w:val="00973CE1"/>
    <w:rsid w:val="00976775"/>
    <w:rsid w:val="00977A3D"/>
    <w:rsid w:val="00977B04"/>
    <w:rsid w:val="00982C0C"/>
    <w:rsid w:val="00983BF2"/>
    <w:rsid w:val="009A10BE"/>
    <w:rsid w:val="009A6E99"/>
    <w:rsid w:val="009B1ED2"/>
    <w:rsid w:val="009B2ACF"/>
    <w:rsid w:val="009B3BE0"/>
    <w:rsid w:val="009B4380"/>
    <w:rsid w:val="009C180A"/>
    <w:rsid w:val="009C3C4D"/>
    <w:rsid w:val="009C48A4"/>
    <w:rsid w:val="009C5C77"/>
    <w:rsid w:val="009C7A83"/>
    <w:rsid w:val="009D4605"/>
    <w:rsid w:val="009E10DC"/>
    <w:rsid w:val="009E35D5"/>
    <w:rsid w:val="009E4449"/>
    <w:rsid w:val="009E6517"/>
    <w:rsid w:val="009F250E"/>
    <w:rsid w:val="009F6871"/>
    <w:rsid w:val="00A00FCD"/>
    <w:rsid w:val="00A01A78"/>
    <w:rsid w:val="00A04D2D"/>
    <w:rsid w:val="00A04FB4"/>
    <w:rsid w:val="00A06720"/>
    <w:rsid w:val="00A074C7"/>
    <w:rsid w:val="00A127CE"/>
    <w:rsid w:val="00A1608E"/>
    <w:rsid w:val="00A20417"/>
    <w:rsid w:val="00A253CF"/>
    <w:rsid w:val="00A35157"/>
    <w:rsid w:val="00A4087F"/>
    <w:rsid w:val="00A425AF"/>
    <w:rsid w:val="00A42D32"/>
    <w:rsid w:val="00A5005A"/>
    <w:rsid w:val="00A509A6"/>
    <w:rsid w:val="00A57DF6"/>
    <w:rsid w:val="00A6070B"/>
    <w:rsid w:val="00A70F9F"/>
    <w:rsid w:val="00A826EB"/>
    <w:rsid w:val="00A85F1A"/>
    <w:rsid w:val="00A921DB"/>
    <w:rsid w:val="00A9442D"/>
    <w:rsid w:val="00AA309F"/>
    <w:rsid w:val="00AA38F1"/>
    <w:rsid w:val="00AA3E12"/>
    <w:rsid w:val="00AA7F86"/>
    <w:rsid w:val="00AB10C5"/>
    <w:rsid w:val="00AB71E2"/>
    <w:rsid w:val="00AC1C66"/>
    <w:rsid w:val="00AC4239"/>
    <w:rsid w:val="00AC4413"/>
    <w:rsid w:val="00AC4CC9"/>
    <w:rsid w:val="00AD53B9"/>
    <w:rsid w:val="00AE1C45"/>
    <w:rsid w:val="00AE3A61"/>
    <w:rsid w:val="00AF5597"/>
    <w:rsid w:val="00B075DE"/>
    <w:rsid w:val="00B10F90"/>
    <w:rsid w:val="00B13452"/>
    <w:rsid w:val="00B33F70"/>
    <w:rsid w:val="00B34B43"/>
    <w:rsid w:val="00B34BD9"/>
    <w:rsid w:val="00B517C2"/>
    <w:rsid w:val="00B5309E"/>
    <w:rsid w:val="00B54BE3"/>
    <w:rsid w:val="00B6353B"/>
    <w:rsid w:val="00B638B2"/>
    <w:rsid w:val="00B6594D"/>
    <w:rsid w:val="00B73ECC"/>
    <w:rsid w:val="00B835B4"/>
    <w:rsid w:val="00B924CE"/>
    <w:rsid w:val="00B9291A"/>
    <w:rsid w:val="00B9767A"/>
    <w:rsid w:val="00BA4984"/>
    <w:rsid w:val="00BB425B"/>
    <w:rsid w:val="00BC05FB"/>
    <w:rsid w:val="00BC1A42"/>
    <w:rsid w:val="00BC5772"/>
    <w:rsid w:val="00BC7A5C"/>
    <w:rsid w:val="00BD5EAD"/>
    <w:rsid w:val="00BE24BF"/>
    <w:rsid w:val="00BE2F15"/>
    <w:rsid w:val="00BE47AF"/>
    <w:rsid w:val="00BE6A8F"/>
    <w:rsid w:val="00BF2347"/>
    <w:rsid w:val="00C03C1C"/>
    <w:rsid w:val="00C04624"/>
    <w:rsid w:val="00C04E2C"/>
    <w:rsid w:val="00C151EE"/>
    <w:rsid w:val="00C21B54"/>
    <w:rsid w:val="00C21C69"/>
    <w:rsid w:val="00C221B7"/>
    <w:rsid w:val="00C31570"/>
    <w:rsid w:val="00C404A0"/>
    <w:rsid w:val="00C41B65"/>
    <w:rsid w:val="00C52E3C"/>
    <w:rsid w:val="00C57A5A"/>
    <w:rsid w:val="00C6585F"/>
    <w:rsid w:val="00C66050"/>
    <w:rsid w:val="00C759FB"/>
    <w:rsid w:val="00C936B4"/>
    <w:rsid w:val="00C957B3"/>
    <w:rsid w:val="00C9580A"/>
    <w:rsid w:val="00CA37E9"/>
    <w:rsid w:val="00CA3DBE"/>
    <w:rsid w:val="00CA50EE"/>
    <w:rsid w:val="00CB06A7"/>
    <w:rsid w:val="00CB36F6"/>
    <w:rsid w:val="00CC0136"/>
    <w:rsid w:val="00CC1BEA"/>
    <w:rsid w:val="00CD5562"/>
    <w:rsid w:val="00CE1E46"/>
    <w:rsid w:val="00CE1EAE"/>
    <w:rsid w:val="00CE6674"/>
    <w:rsid w:val="00CF4F6F"/>
    <w:rsid w:val="00CF7276"/>
    <w:rsid w:val="00D00A72"/>
    <w:rsid w:val="00D01ACB"/>
    <w:rsid w:val="00D0238B"/>
    <w:rsid w:val="00D11A67"/>
    <w:rsid w:val="00D12A93"/>
    <w:rsid w:val="00D14628"/>
    <w:rsid w:val="00D157E2"/>
    <w:rsid w:val="00D17030"/>
    <w:rsid w:val="00D17383"/>
    <w:rsid w:val="00D21099"/>
    <w:rsid w:val="00D27AAB"/>
    <w:rsid w:val="00D31A74"/>
    <w:rsid w:val="00D31B3F"/>
    <w:rsid w:val="00D409C0"/>
    <w:rsid w:val="00D51184"/>
    <w:rsid w:val="00D6057E"/>
    <w:rsid w:val="00D670F9"/>
    <w:rsid w:val="00D67F1C"/>
    <w:rsid w:val="00D70239"/>
    <w:rsid w:val="00D715B7"/>
    <w:rsid w:val="00D737D2"/>
    <w:rsid w:val="00D73EDF"/>
    <w:rsid w:val="00D755D0"/>
    <w:rsid w:val="00D75A0E"/>
    <w:rsid w:val="00D75B13"/>
    <w:rsid w:val="00D77A3F"/>
    <w:rsid w:val="00D85ABA"/>
    <w:rsid w:val="00D94879"/>
    <w:rsid w:val="00DB16AE"/>
    <w:rsid w:val="00DB3A84"/>
    <w:rsid w:val="00DC023A"/>
    <w:rsid w:val="00DD0A17"/>
    <w:rsid w:val="00DD0F8D"/>
    <w:rsid w:val="00DD38F7"/>
    <w:rsid w:val="00DF2134"/>
    <w:rsid w:val="00DF66B0"/>
    <w:rsid w:val="00E0298B"/>
    <w:rsid w:val="00E03BD1"/>
    <w:rsid w:val="00E050D2"/>
    <w:rsid w:val="00E0577A"/>
    <w:rsid w:val="00E14CC7"/>
    <w:rsid w:val="00E1737C"/>
    <w:rsid w:val="00E22581"/>
    <w:rsid w:val="00E31042"/>
    <w:rsid w:val="00E43B36"/>
    <w:rsid w:val="00E46E8C"/>
    <w:rsid w:val="00E50F76"/>
    <w:rsid w:val="00E71DBF"/>
    <w:rsid w:val="00E75080"/>
    <w:rsid w:val="00E90EA4"/>
    <w:rsid w:val="00E94701"/>
    <w:rsid w:val="00EA305F"/>
    <w:rsid w:val="00EA73A8"/>
    <w:rsid w:val="00EB080E"/>
    <w:rsid w:val="00EB0CD2"/>
    <w:rsid w:val="00EB736F"/>
    <w:rsid w:val="00EC08B0"/>
    <w:rsid w:val="00EC56C5"/>
    <w:rsid w:val="00ED197F"/>
    <w:rsid w:val="00ED22C5"/>
    <w:rsid w:val="00ED5211"/>
    <w:rsid w:val="00ED7384"/>
    <w:rsid w:val="00EE2AC3"/>
    <w:rsid w:val="00EF255D"/>
    <w:rsid w:val="00EF50C9"/>
    <w:rsid w:val="00EF52A0"/>
    <w:rsid w:val="00EF628B"/>
    <w:rsid w:val="00F00F21"/>
    <w:rsid w:val="00F171A1"/>
    <w:rsid w:val="00F219F5"/>
    <w:rsid w:val="00F23FAA"/>
    <w:rsid w:val="00F25ED0"/>
    <w:rsid w:val="00F264D2"/>
    <w:rsid w:val="00F27D0F"/>
    <w:rsid w:val="00F3166A"/>
    <w:rsid w:val="00F33210"/>
    <w:rsid w:val="00F34E1E"/>
    <w:rsid w:val="00F35016"/>
    <w:rsid w:val="00F35613"/>
    <w:rsid w:val="00F36CC4"/>
    <w:rsid w:val="00F41391"/>
    <w:rsid w:val="00F42AE8"/>
    <w:rsid w:val="00F43293"/>
    <w:rsid w:val="00F44364"/>
    <w:rsid w:val="00F456BB"/>
    <w:rsid w:val="00F46D0C"/>
    <w:rsid w:val="00F4702C"/>
    <w:rsid w:val="00F55E7F"/>
    <w:rsid w:val="00F56345"/>
    <w:rsid w:val="00F60BC1"/>
    <w:rsid w:val="00F67105"/>
    <w:rsid w:val="00F72C67"/>
    <w:rsid w:val="00F77751"/>
    <w:rsid w:val="00F778EE"/>
    <w:rsid w:val="00F8399A"/>
    <w:rsid w:val="00F929D9"/>
    <w:rsid w:val="00F93A35"/>
    <w:rsid w:val="00F958FB"/>
    <w:rsid w:val="00FA3E2B"/>
    <w:rsid w:val="00FA54DA"/>
    <w:rsid w:val="00FA5CA0"/>
    <w:rsid w:val="00FA7DFC"/>
    <w:rsid w:val="00FA7F50"/>
    <w:rsid w:val="00FB040A"/>
    <w:rsid w:val="00FB3AE0"/>
    <w:rsid w:val="00FC5BF7"/>
    <w:rsid w:val="00FC6706"/>
    <w:rsid w:val="00FD0846"/>
    <w:rsid w:val="00FD50A0"/>
    <w:rsid w:val="00FE53F3"/>
    <w:rsid w:val="00FF209F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18EEE"/>
  <w15:chartTrackingRefBased/>
  <w15:docId w15:val="{622454F1-0593-4BE3-991A-29E86D6A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paragraph" w:styleId="Title">
    <w:name w:val="Title"/>
    <w:basedOn w:val="Normal"/>
    <w:next w:val="Normal"/>
    <w:link w:val="TitleChar"/>
    <w:uiPriority w:val="10"/>
    <w:qFormat/>
    <w:rsid w:val="00B6594D"/>
    <w:rPr>
      <w:rFonts w:ascii="Century" w:hAnsi="Century" w:cs="Arial"/>
      <w:b/>
      <w:bCs/>
      <w:color w:val="0F558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6594D"/>
    <w:rPr>
      <w:rFonts w:ascii="Century" w:hAnsi="Century" w:cs="Arial"/>
      <w:b/>
      <w:bCs/>
      <w:color w:val="0F5581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94D"/>
    <w:pPr>
      <w:spacing w:before="120"/>
    </w:pPr>
    <w:rPr>
      <w:rFonts w:ascii="Century" w:hAnsi="Century"/>
      <w:color w:val="0F558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94D"/>
    <w:rPr>
      <w:rFonts w:ascii="Century" w:hAnsi="Century"/>
      <w:color w:val="0F5581"/>
      <w:sz w:val="24"/>
      <w:szCs w:val="24"/>
    </w:rPr>
  </w:style>
  <w:style w:type="paragraph" w:customStyle="1" w:styleId="ContactInfo">
    <w:name w:val="Contact Info"/>
    <w:basedOn w:val="Normal"/>
    <w:qFormat/>
    <w:rsid w:val="00B6594D"/>
    <w:pPr>
      <w:autoSpaceDE w:val="0"/>
      <w:autoSpaceDN w:val="0"/>
      <w:adjustRightInd w:val="0"/>
      <w:jc w:val="right"/>
    </w:pPr>
    <w:rPr>
      <w:rFonts w:ascii="Franklin Gothic Book" w:hAnsi="Franklin Gothic Book" w:cs="FranklinGothicURW-Boo"/>
      <w:color w:val="0F5581"/>
      <w:sz w:val="20"/>
      <w:szCs w:val="20"/>
    </w:rPr>
  </w:style>
  <w:style w:type="paragraph" w:customStyle="1" w:styleId="Summary">
    <w:name w:val="Summary"/>
    <w:basedOn w:val="Normal"/>
    <w:qFormat/>
    <w:rsid w:val="00B6594D"/>
    <w:pPr>
      <w:spacing w:line="264" w:lineRule="auto"/>
    </w:pPr>
    <w:rPr>
      <w:rFonts w:ascii="Franklin Gothic Book" w:hAnsi="Franklin Gothic Book" w:cs="FranklinGothicURW-Boo"/>
      <w:color w:val="0F5581"/>
      <w:sz w:val="20"/>
      <w:szCs w:val="20"/>
    </w:rPr>
  </w:style>
  <w:style w:type="paragraph" w:customStyle="1" w:styleId="HiddenTitle">
    <w:name w:val="Hidden Title"/>
    <w:basedOn w:val="Normal"/>
    <w:qFormat/>
    <w:rsid w:val="00753DED"/>
    <w:rPr>
      <w:rFonts w:ascii="Corbel" w:hAnsi="Corbel"/>
      <w:color w:val="FFFFFF" w:themeColor="background1"/>
    </w:rPr>
  </w:style>
  <w:style w:type="paragraph" w:customStyle="1" w:styleId="SectionHeading">
    <w:name w:val="Section Heading"/>
    <w:basedOn w:val="Normal"/>
    <w:qFormat/>
    <w:rsid w:val="00D31B3F"/>
    <w:pPr>
      <w:spacing w:before="480" w:after="240"/>
    </w:pPr>
    <w:rPr>
      <w:rFonts w:ascii="Century" w:hAnsi="Century" w:cs="Arial"/>
      <w:b/>
      <w:bCs/>
      <w:color w:val="0F5581"/>
      <w:sz w:val="28"/>
      <w:szCs w:val="28"/>
    </w:rPr>
  </w:style>
  <w:style w:type="paragraph" w:customStyle="1" w:styleId="AoEBullet">
    <w:name w:val="AoE Bullet"/>
    <w:basedOn w:val="ListParagraph"/>
    <w:qFormat/>
    <w:rsid w:val="00B6594D"/>
    <w:pPr>
      <w:numPr>
        <w:numId w:val="3"/>
      </w:numPr>
      <w:ind w:left="255" w:hanging="270"/>
    </w:pPr>
    <w:rPr>
      <w:rFonts w:ascii="Franklin Gothic Book" w:hAnsi="Franklin Gothic Book"/>
      <w:sz w:val="20"/>
      <w:szCs w:val="20"/>
    </w:rPr>
  </w:style>
  <w:style w:type="paragraph" w:customStyle="1" w:styleId="TechHeader">
    <w:name w:val="Tech Header"/>
    <w:basedOn w:val="Normal"/>
    <w:qFormat/>
    <w:rsid w:val="00B6594D"/>
    <w:pPr>
      <w:spacing w:before="120"/>
    </w:pPr>
    <w:rPr>
      <w:rFonts w:ascii="Franklin Gothic Book" w:hAnsi="Franklin Gothic Book" w:cs="FranklinGothicURW-Boo"/>
      <w:b/>
      <w:bCs/>
      <w:color w:val="0F5581"/>
      <w:sz w:val="20"/>
      <w:szCs w:val="20"/>
    </w:rPr>
  </w:style>
  <w:style w:type="paragraph" w:customStyle="1" w:styleId="TechInfo">
    <w:name w:val="Tech Info"/>
    <w:basedOn w:val="Normal"/>
    <w:qFormat/>
    <w:rsid w:val="00753DED"/>
    <w:pPr>
      <w:spacing w:before="120"/>
    </w:pPr>
    <w:rPr>
      <w:rFonts w:ascii="Corbel" w:hAnsi="Corbel" w:cs="FranklinGothicURW-Boo"/>
      <w:sz w:val="20"/>
      <w:szCs w:val="20"/>
    </w:rPr>
  </w:style>
  <w:style w:type="paragraph" w:customStyle="1" w:styleId="CompanyBlock">
    <w:name w:val="Company Block"/>
    <w:basedOn w:val="Normal"/>
    <w:qFormat/>
    <w:rsid w:val="00B6594D"/>
    <w:pPr>
      <w:tabs>
        <w:tab w:val="right" w:pos="10800"/>
      </w:tabs>
      <w:spacing w:before="360"/>
    </w:pPr>
    <w:rPr>
      <w:rFonts w:ascii="Franklin Gothic Book" w:hAnsi="Franklin Gothic Book"/>
      <w:b/>
      <w:bCs/>
      <w:color w:val="0F5581"/>
      <w:sz w:val="20"/>
      <w:szCs w:val="20"/>
    </w:rPr>
  </w:style>
  <w:style w:type="paragraph" w:customStyle="1" w:styleId="JobTitleBlock">
    <w:name w:val="Job Title Block"/>
    <w:basedOn w:val="Normal"/>
    <w:qFormat/>
    <w:rsid w:val="00B6594D"/>
    <w:pPr>
      <w:tabs>
        <w:tab w:val="right" w:pos="10800"/>
      </w:tabs>
      <w:spacing w:after="180"/>
      <w:ind w:left="187"/>
      <w:contextualSpacing/>
    </w:pPr>
    <w:rPr>
      <w:rFonts w:ascii="Franklin Gothic Book" w:hAnsi="Franklin Gothic Book"/>
      <w:b/>
      <w:bCs/>
      <w:color w:val="0F5581"/>
      <w:sz w:val="20"/>
      <w:szCs w:val="20"/>
    </w:rPr>
  </w:style>
  <w:style w:type="paragraph" w:customStyle="1" w:styleId="JobDescription">
    <w:name w:val="Job Description"/>
    <w:basedOn w:val="Normal"/>
    <w:qFormat/>
    <w:rsid w:val="00B6594D"/>
    <w:pPr>
      <w:tabs>
        <w:tab w:val="right" w:pos="7155"/>
      </w:tabs>
      <w:spacing w:after="180"/>
      <w:ind w:left="187"/>
      <w:contextualSpacing/>
    </w:pPr>
    <w:rPr>
      <w:rFonts w:ascii="Franklin Gothic Book" w:hAnsi="Franklin Gothic Book" w:cs="FranklinGothicURW-Boo"/>
      <w:sz w:val="20"/>
      <w:szCs w:val="20"/>
    </w:rPr>
  </w:style>
  <w:style w:type="paragraph" w:customStyle="1" w:styleId="JDAccomplishment">
    <w:name w:val="JD Accomplishment"/>
    <w:basedOn w:val="ListParagraph"/>
    <w:qFormat/>
    <w:rsid w:val="00B6594D"/>
    <w:pPr>
      <w:spacing w:after="240"/>
      <w:ind w:left="461" w:hanging="274"/>
    </w:pPr>
    <w:rPr>
      <w:rFonts w:ascii="Franklin Gothic Book" w:hAnsi="Franklin Gothic Book"/>
      <w:sz w:val="20"/>
      <w:szCs w:val="20"/>
    </w:rPr>
  </w:style>
  <w:style w:type="paragraph" w:customStyle="1" w:styleId="EduDegree">
    <w:name w:val="Edu Degree"/>
    <w:basedOn w:val="Normal"/>
    <w:qFormat/>
    <w:rsid w:val="00B6594D"/>
    <w:pPr>
      <w:ind w:left="-14"/>
    </w:pPr>
    <w:rPr>
      <w:rFonts w:ascii="Franklin Gothic Book" w:hAnsi="Franklin Gothic Book"/>
      <w:b/>
      <w:bCs/>
      <w:color w:val="1F4E79" w:themeColor="accent5" w:themeShade="80"/>
      <w:sz w:val="20"/>
      <w:szCs w:val="20"/>
    </w:rPr>
  </w:style>
  <w:style w:type="paragraph" w:customStyle="1" w:styleId="EduInfo">
    <w:name w:val="Edu Info"/>
    <w:basedOn w:val="Normal"/>
    <w:qFormat/>
    <w:rsid w:val="00B6594D"/>
    <w:pPr>
      <w:spacing w:after="120"/>
      <w:ind w:left="187"/>
      <w:contextualSpacing/>
    </w:pPr>
    <w:rPr>
      <w:rFonts w:ascii="Franklin Gothic Book" w:hAnsi="Franklin Gothic Book"/>
      <w:sz w:val="20"/>
      <w:szCs w:val="20"/>
    </w:rPr>
  </w:style>
  <w:style w:type="paragraph" w:customStyle="1" w:styleId="AdditionalList">
    <w:name w:val="Additional List"/>
    <w:basedOn w:val="ListParagraph"/>
    <w:qFormat/>
    <w:rsid w:val="00F00F21"/>
    <w:pPr>
      <w:numPr>
        <w:numId w:val="1"/>
      </w:numPr>
      <w:ind w:left="255" w:hanging="270"/>
    </w:pPr>
    <w:rPr>
      <w:rFonts w:ascii="Franklin Gothic Book" w:hAnsi="Franklin Gothic Book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A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A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775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01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etan-patel-063b464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018B-3729-459E-B440-F53B17270E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30bbbc9-d847-420d-84f4-fa709f927299}" enabled="0" method="" siteId="{330bbbc9-d847-420d-84f4-fa709f927299}" removed="1"/>
  <clbl:label id="{bad6f6f2-a951-4904-b531-92e1207fc7a5}" enabled="1" method="Standard" siteId="{b7be7686-6f97-4db7-9081-a23cf09a96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1221</Words>
  <Characters>8654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Ketan Patel's Resume</vt:lpstr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Ketan Patel's Resume</dc:title>
  <dc:creator>Ketan Patel</dc:creator>
  <cp:lastModifiedBy>Patel, Ketan</cp:lastModifiedBy>
  <cp:revision>10</cp:revision>
  <cp:lastPrinted>2024-01-09T14:04:00Z</cp:lastPrinted>
  <dcterms:created xsi:type="dcterms:W3CDTF">2025-03-19T11:42:00Z</dcterms:created>
  <dcterms:modified xsi:type="dcterms:W3CDTF">2025-04-08T12:18:00Z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VIMo2-v1</vt:lpwstr>
  </property>
  <property fmtid="{D5CDD505-2E9C-101B-9397-08002B2CF9AE}" pid="3" name="tal_id">
    <vt:lpwstr>ba43546b862747318645c6c54d7b58dd</vt:lpwstr>
  </property>
  <property fmtid="{D5CDD505-2E9C-101B-9397-08002B2CF9AE}" pid="4" name="app_source">
    <vt:lpwstr>rezbiz</vt:lpwstr>
  </property>
  <property fmtid="{D5CDD505-2E9C-101B-9397-08002B2CF9AE}" pid="5" name="app_id">
    <vt:lpwstr>1175433</vt:lpwstr>
  </property>
  <property fmtid="{D5CDD505-2E9C-101B-9397-08002B2CF9AE}" pid="6" name="GrammarlyDocumentId">
    <vt:lpwstr>d28b32c9d38b1265718e888470241a0b6507cf7e47795e0dee34b5d1db9e0746</vt:lpwstr>
  </property>
</Properties>
</file>