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0629E" w14:textId="77777777" w:rsidR="00987389" w:rsidRDefault="000B146C">
      <w:pPr>
        <w:spacing w:after="20"/>
        <w:jc w:val="center"/>
      </w:pPr>
      <w:r>
        <w:rPr>
          <w:rFonts w:ascii="Calibri" w:eastAsia="Calibri" w:hAnsi="Calibri" w:cs="Calibri"/>
          <w:b/>
          <w:bCs/>
          <w:color w:val="1F3864"/>
          <w:sz w:val="36"/>
          <w:szCs w:val="36"/>
        </w:rPr>
        <w:t>BETTY K GILBERT</w:t>
      </w:r>
    </w:p>
    <w:p w14:paraId="09641075" w14:textId="77777777" w:rsidR="00987389" w:rsidRDefault="000B146C">
      <w:pPr>
        <w:spacing w:after="40"/>
        <w:jc w:val="center"/>
      </w:pPr>
      <w:r>
        <w:rPr>
          <w:rFonts w:ascii="Calibri" w:eastAsia="Calibri" w:hAnsi="Calibri" w:cs="Calibri"/>
          <w:b/>
          <w:bCs/>
          <w:color w:val="404040"/>
          <w:sz w:val="21"/>
          <w:szCs w:val="21"/>
        </w:rPr>
        <w:t>Customer Operations &amp; Continuous Improvement | AI Enablement | Program &amp; Change Leadership | Vendor Management</w:t>
      </w:r>
    </w:p>
    <w:p w14:paraId="5ED80FCD" w14:textId="77777777" w:rsidR="00987389" w:rsidRDefault="000B146C">
      <w:pPr>
        <w:spacing w:after="40"/>
        <w:jc w:val="center"/>
      </w:pPr>
      <w:r>
        <w:rPr>
          <w:rFonts w:ascii="Calibri" w:eastAsia="Calibri" w:hAnsi="Calibri" w:cs="Calibri"/>
        </w:rPr>
        <w:t xml:space="preserve">Houston, TX • betty_koteras@hotmail.com • 832-725-8025 • </w:t>
      </w:r>
      <w:hyperlink r:id="rId5" w:history="1">
        <w:r>
          <w:rPr>
            <w:rFonts w:ascii="Calibri" w:eastAsia="Calibri" w:hAnsi="Calibri" w:cs="Calibri"/>
            <w:color w:val="1F3864"/>
          </w:rPr>
          <w:t>linkedin.com/in/</w:t>
        </w:r>
        <w:proofErr w:type="spellStart"/>
        <w:r>
          <w:rPr>
            <w:rFonts w:ascii="Calibri" w:eastAsia="Calibri" w:hAnsi="Calibri" w:cs="Calibri"/>
            <w:color w:val="1F3864"/>
          </w:rPr>
          <w:t>bettykgilbert</w:t>
        </w:r>
        <w:proofErr w:type="spellEnd"/>
      </w:hyperlink>
    </w:p>
    <w:p w14:paraId="21E30743" w14:textId="77777777" w:rsidR="00987389" w:rsidRDefault="000B146C">
      <w:pPr>
        <w:pBdr>
          <w:bottom w:val="single" w:sz="8" w:space="1" w:color="1F3864"/>
        </w:pBdr>
        <w:spacing w:before="160" w:after="6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EXECUTIVE SUMMARY</w:t>
      </w:r>
    </w:p>
    <w:p w14:paraId="1D9A5C60" w14:textId="319FBF8A" w:rsidR="00987389" w:rsidRDefault="000B146C">
      <w:pPr>
        <w:spacing w:after="40"/>
      </w:pPr>
      <w:r>
        <w:rPr>
          <w:rFonts w:ascii="Calibri" w:eastAsia="Calibri" w:hAnsi="Calibri" w:cs="Calibri"/>
        </w:rPr>
        <w:t>Customer operations and continuous improvement leader in retail energy, EV charging, and consumer financial services, leading 24/7 omni-channel (phone, chat, email) contact center, back-office, and vendor operations in regulated, high-volume environments. Directs 3 managers and partners with BPO vendors Alorica and Teleperformance across a 1,000+ agent operation in 7 locations and 6 countries, managing strategic vendors end to end from RFP and SOW through scorecards and business reviews. Leads AI and process transformation through phased, control-group-tested rollouts: AI Assist, AI search, and AI role-play lifted first-contact resolution 25%, raised CSAT and eNPS, and cut new-hire time to proficiency by 30 days. Delivered $1.5M+ in telephony and operating-efficiency savings over the last 12 months and lowered PUC complaints 15%. As sole Project Manager, led EVgo’s $3M customer-operations launch program, then scaled operations from zero customers to tens of thousands across 17 states.</w:t>
      </w:r>
    </w:p>
    <w:p w14:paraId="45D689D8" w14:textId="77777777" w:rsidR="00987389" w:rsidRDefault="000B146C">
      <w:pPr>
        <w:pBdr>
          <w:bottom w:val="single" w:sz="8" w:space="1" w:color="1F3864"/>
        </w:pBdr>
        <w:spacing w:before="160" w:after="6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CORE EXPERTISE</w:t>
      </w:r>
    </w:p>
    <w:p w14:paraId="5272FB6F" w14:textId="0C2A9F8D" w:rsidR="00987389" w:rsidRDefault="000B146C">
      <w:pPr>
        <w:spacing w:after="40"/>
      </w:pPr>
      <w:r>
        <w:rPr>
          <w:rFonts w:ascii="Calibri" w:eastAsia="Calibri" w:hAnsi="Calibri" w:cs="Calibri"/>
        </w:rPr>
        <w:t>Omni-Channel Contact Center Operations • Continuous Improvement (Lean, Kaizen, Value-Stream Mapping) • AI Enablement &amp; Knowledge Governance • Program &amp; Change Leadership (RAID, Steering Committees) • BPO Partner &amp; Vendor Management (RFP, SOW, SLAs, QBRs) • Global, Multi-Site Leadership (6 countries) • Learning &amp; Development • Workforce Planning &amp; Forecasting • Cost-to-Serve Optimization • Regulated Operations (PUC, FCRA, FDCPA) • Crisis &amp; Business Continuity • Data &amp; Predictive Analytics • B2B &amp; Consumer Support • Waterfall &amp; Agile Delivery</w:t>
      </w:r>
    </w:p>
    <w:p w14:paraId="2024B49B" w14:textId="7F7AD110" w:rsidR="00987389" w:rsidRDefault="000B146C">
      <w:pPr>
        <w:spacing w:after="40"/>
      </w:pPr>
      <w:r>
        <w:rPr>
          <w:rFonts w:ascii="Calibri" w:eastAsia="Calibri" w:hAnsi="Calibri" w:cs="Calibri"/>
          <w:b/>
          <w:bCs/>
        </w:rPr>
        <w:t>Technology:</w:t>
      </w:r>
      <w:r>
        <w:rPr>
          <w:rFonts w:ascii="Calibri" w:eastAsia="Calibri" w:hAnsi="Calibri" w:cs="Calibri"/>
        </w:rPr>
        <w:t xml:space="preserve"> Microsoft 365 • Copilot • Power Automate • Advanced Excel • SQL/QMF • SharePoint • ServiceNow • Jira • Confluence • KMS Lighthouse • Claude • Gemini</w:t>
      </w:r>
    </w:p>
    <w:p w14:paraId="3B316BA3" w14:textId="77777777" w:rsidR="00987389" w:rsidRDefault="000B146C">
      <w:pPr>
        <w:pBdr>
          <w:bottom w:val="single" w:sz="8" w:space="1" w:color="1F3864"/>
        </w:pBdr>
        <w:spacing w:before="160" w:after="6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PROFESSIONAL EXPERIENCE</w:t>
      </w:r>
    </w:p>
    <w:p w14:paraId="71FB1112" w14:textId="77777777" w:rsidR="00987389" w:rsidRDefault="000B146C">
      <w:pPr>
        <w:keepNext/>
        <w:tabs>
          <w:tab w:val="right" w:pos="10800"/>
        </w:tabs>
        <w:spacing w:before="100" w:after="2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NRG Energy</w:t>
      </w:r>
      <w:r>
        <w:rPr>
          <w:rFonts w:ascii="Calibri" w:eastAsia="Calibri" w:hAnsi="Calibri" w:cs="Calibri"/>
          <w:b/>
          <w:bCs/>
        </w:rPr>
        <w:tab/>
        <w:t>Nov 2006 – Present</w:t>
      </w:r>
    </w:p>
    <w:p w14:paraId="47CADCF8" w14:textId="68933296" w:rsidR="00987389" w:rsidRDefault="000B146C">
      <w:pPr>
        <w:keepNext/>
        <w:tabs>
          <w:tab w:val="right" w:pos="10800"/>
        </w:tabs>
        <w:spacing w:before="20" w:after="20"/>
      </w:pPr>
      <w:r>
        <w:rPr>
          <w:rFonts w:ascii="Calibri" w:eastAsia="Calibri" w:hAnsi="Calibri" w:cs="Calibri"/>
          <w:b/>
          <w:bCs/>
          <w:sz w:val="21"/>
          <w:szCs w:val="21"/>
        </w:rPr>
        <w:t>Sr. Manager, Process/ Change Integration</w:t>
      </w:r>
      <w:r>
        <w:rPr>
          <w:rFonts w:ascii="Calibri" w:eastAsia="Calibri" w:hAnsi="Calibri" w:cs="Calibri"/>
          <w:b/>
          <w:bCs/>
          <w:sz w:val="21"/>
          <w:szCs w:val="21"/>
        </w:rPr>
        <w:tab/>
        <w:t>2017 – Present</w:t>
      </w:r>
    </w:p>
    <w:p w14:paraId="4C8BF2A1" w14:textId="282AF876" w:rsidR="00987389" w:rsidRDefault="000B146C">
      <w:pPr>
        <w:spacing w:after="40"/>
      </w:pPr>
      <w:r>
        <w:rPr>
          <w:rFonts w:ascii="Calibri" w:eastAsia="Calibri" w:hAnsi="Calibri" w:cs="Calibri"/>
        </w:rPr>
        <w:t>Lead process, technology, knowledge management, AI enablement, and training in the Continuous Improvement org for a 24/7 omni-channel customer care operation of 1,000+ agents (NRG employees and vendor staff) supported by frontline partners Alorica and Teleperformance across 7 locations in 6 countries. Own the knowledge base and L&amp;D roadmaps; direct 3 managers leading Learning &amp; Development, Technical Writing, and Conversational AI, an organization of 20 employees and vendor staff.</w:t>
      </w:r>
    </w:p>
    <w:p w14:paraId="2FE7F0D7" w14:textId="77777777" w:rsidR="00987389" w:rsidRDefault="000B146C">
      <w:pPr>
        <w:keepNext/>
        <w:spacing w:before="80" w:after="20"/>
      </w:pPr>
      <w:r>
        <w:rPr>
          <w:rFonts w:ascii="Calibri" w:eastAsia="Calibri" w:hAnsi="Calibri" w:cs="Calibri"/>
          <w:b/>
          <w:bCs/>
          <w:i/>
          <w:iCs/>
          <w:color w:val="1F3864"/>
        </w:rPr>
        <w:t>AI Enablement &amp; Operational Performance</w:t>
      </w:r>
    </w:p>
    <w:p w14:paraId="700F4696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Improved first-contact resolution 25% by deploying an AI Assist tool that gives agents, including vendor staff, real-time next-best-action guidance; partnered with data scientists to define the next best actions.</w:t>
      </w:r>
    </w:p>
    <w:p w14:paraId="0B497FAB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Reduced average handle time 10 seconds in the Texas market by deploying AI-powered knowledge base search.</w:t>
      </w:r>
    </w:p>
    <w:p w14:paraId="1DB38429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Raised CSAT and lifted eNPS 3 points with AI role-play tools for practicing call scenarios, adopted by 85% of agents at 5 sessions per month; cut new-hire time to proficiency by 30 days.</w:t>
      </w:r>
    </w:p>
    <w:p w14:paraId="0AE1E5D9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Validate each AI launch against control groups and roll out in phases; bring VP and Director stakeholders a recommended priority order based on business-case value and deployment dependencies.</w:t>
      </w:r>
    </w:p>
    <w:p w14:paraId="173B7E37" w14:textId="7B4BDF9A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Built a governed knowledge base as the single source of truth for agents, back-office staff, and AI tools, with 100% of legacy content migrated or archived; now extending it to back-office processes.</w:t>
      </w:r>
    </w:p>
    <w:p w14:paraId="6065C94A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Piloting an internally built, CRM-integrated AI assist for chat that analyzes high-bill inquiries and drafts responses; wrote the user stories and partner with engineering through sprint reviews. Early results show higher FCR and lower handle time.</w:t>
      </w:r>
    </w:p>
    <w:p w14:paraId="3BE7F666" w14:textId="77777777" w:rsidR="00987389" w:rsidRDefault="000B146C">
      <w:pPr>
        <w:keepNext/>
        <w:spacing w:before="80" w:after="20"/>
      </w:pPr>
      <w:r>
        <w:rPr>
          <w:rFonts w:ascii="Calibri" w:eastAsia="Calibri" w:hAnsi="Calibri" w:cs="Calibri"/>
          <w:b/>
          <w:bCs/>
          <w:i/>
          <w:iCs/>
          <w:color w:val="1F3864"/>
        </w:rPr>
        <w:t>Continuous Improvement, Transformation &amp; Crisis Management</w:t>
      </w:r>
    </w:p>
    <w:p w14:paraId="4CE46AB7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Reduced PUC complaints 15% in 2025 through a Kaizen-style root-cause program: categorized complaints, value-stream mapped the top category, launched quick wins immediately, and prioritized longer-term system fixes; accountable for improving PUC star ratings.</w:t>
      </w:r>
    </w:p>
    <w:p w14:paraId="71DEC924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Built business cases and deployed enhancements that delivered $1M in operating-efficiency savings over the last 12 months.</w:t>
      </w:r>
    </w:p>
    <w:p w14:paraId="0AD7620B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Led the toll-free to SIP telephony conversion, saving $500K annually, and streamlined credit adjustments, cutting handle time 45 seconds on those calls.</w:t>
      </w:r>
    </w:p>
    <w:p w14:paraId="03D8EC22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Oversaw the move of agent cross-sell prompts to data-model-targeted offers, and automated PUC-required payment arrangements for disaster-area accounts by county, prompted through Agent Assist.</w:t>
      </w:r>
    </w:p>
    <w:p w14:paraId="33E7874E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Deployed a blended-agent strategy for Texas, letting Workforce Management shift agents across multiple energy brands; strengthened service-level control and productivity negotiations with vendor partners.</w:t>
      </w:r>
    </w:p>
    <w:p w14:paraId="543E8298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lastRenderedPageBreak/>
        <w:t>Coordinated the Vivint launch so customers accepting a smart thermostat enroll in NRG’s Virtual Power Plant; VPP enrollment grew 70% in year one.</w:t>
      </w:r>
    </w:p>
    <w:p w14:paraId="7D24D117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Lead the Texas retail brands customer care crisis response team; most recently coordinated the Hurricane Beryl response (~945K customers impacted), aligning care, dunning, collections, and market transactions from preparation through recovery.</w:t>
      </w:r>
    </w:p>
    <w:p w14:paraId="08765153" w14:textId="77777777" w:rsidR="00987389" w:rsidRDefault="000B146C">
      <w:pPr>
        <w:keepNext/>
        <w:spacing w:before="80" w:after="20"/>
      </w:pPr>
      <w:r>
        <w:rPr>
          <w:rFonts w:ascii="Calibri" w:eastAsia="Calibri" w:hAnsi="Calibri" w:cs="Calibri"/>
          <w:b/>
          <w:bCs/>
          <w:i/>
          <w:iCs/>
          <w:color w:val="1F3864"/>
        </w:rPr>
        <w:t>Vendor Partnerships &amp; Team Leadership</w:t>
      </w:r>
    </w:p>
    <w:p w14:paraId="3E1A9B45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Manage 5 strategic vendors ($1.7M+ annual spend) providing knowledge base technology, call simulation, technical writing, conversational AI, and L&amp;D services across the US, Canada, Philippines, India, Mexico, and Guatemala.</w:t>
      </w:r>
    </w:p>
    <w:p w14:paraId="1DC36FCC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Led RFPs and vendor selection; negotiated SOWs, SLAs, and pricing. Built vendor scorecards and a KPI framework (SLA attainment, productivity, compliance) and lead quarterly business reviews with vendor and internal leadership.</w:t>
      </w:r>
    </w:p>
    <w:p w14:paraId="6DA4B4C1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Recovered the Texas knowledge base AI pilot after early inaccurate answers by tracing the issue with the vendor to a missed configuration and tuning the AI to deliver correct answers.</w:t>
      </w:r>
    </w:p>
    <w:p w14:paraId="62B75389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Influenced the knowledge base vendor to build an enterprise enhancement, now deploying, that restricts content by user role, separating back-office and front-office material and benefiting the vendor’s wider client base.</w:t>
      </w:r>
    </w:p>
    <w:p w14:paraId="2E0C9FB0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Partner with BPO and NRG vendor managers to strengthen escalation processes and agent empowerment, resolving issues at first escalation to raise CSAT and prevent PUC complaints.</w:t>
      </w:r>
    </w:p>
    <w:p w14:paraId="3556F283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Lead through regular 1:1s, skip-levels, and quarterly all-hands; developed a technical writer and promoted them to Knowledge Base Manager.</w:t>
      </w:r>
    </w:p>
    <w:p w14:paraId="5D61E5EA" w14:textId="77777777" w:rsidR="00987389" w:rsidRDefault="000B146C">
      <w:pPr>
        <w:keepNext/>
        <w:tabs>
          <w:tab w:val="right" w:pos="10800"/>
        </w:tabs>
        <w:spacing w:before="100" w:after="20"/>
      </w:pPr>
      <w:r>
        <w:rPr>
          <w:rFonts w:ascii="Calibri" w:eastAsia="Calibri" w:hAnsi="Calibri" w:cs="Calibri"/>
          <w:b/>
          <w:bCs/>
          <w:sz w:val="21"/>
          <w:szCs w:val="21"/>
        </w:rPr>
        <w:t>Sr. Operations Manager, EVgo (NRG startup venture)</w:t>
      </w:r>
      <w:r>
        <w:rPr>
          <w:rFonts w:ascii="Calibri" w:eastAsia="Calibri" w:hAnsi="Calibri" w:cs="Calibri"/>
          <w:b/>
          <w:bCs/>
        </w:rPr>
        <w:tab/>
        <w:t>2012 – 2017</w:t>
      </w:r>
    </w:p>
    <w:p w14:paraId="63A261AE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Led front-office (contact center) and back-office customer care for consumers and B2B charging-station host partners after launch, growing from zero customers to tens of thousands through the Texas launch and expansion into 16 additional states.</w:t>
      </w:r>
    </w:p>
    <w:p w14:paraId="678A4519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Ran and evolved the operating infrastructure for billing, fulfillment, home-charger operations, host reimbursement, variable billing, and technical support, adapting operations through the pivot from home to public charging.</w:t>
      </w:r>
    </w:p>
    <w:p w14:paraId="3E89B7B5" w14:textId="1EE97C51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Managed a back-office analyst team supporting accounts acr</w:t>
      </w:r>
      <w:r w:rsidR="002F3091">
        <w:rPr>
          <w:rFonts w:ascii="Calibri" w:eastAsia="Calibri" w:hAnsi="Calibri" w:cs="Calibri"/>
        </w:rPr>
        <w:t xml:space="preserve">oss regional </w:t>
      </w:r>
      <w:r>
        <w:rPr>
          <w:rFonts w:ascii="Calibri" w:eastAsia="Calibri" w:hAnsi="Calibri" w:cs="Calibri"/>
        </w:rPr>
        <w:t>markets; owned contact center forecasting and staffing with Workforce Management.</w:t>
      </w:r>
    </w:p>
    <w:p w14:paraId="44597C9C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Led the operational transition for the EVgo spin-off (NASDAQ: EVGO) before returning to retail electricity.</w:t>
      </w:r>
    </w:p>
    <w:p w14:paraId="380E4F0E" w14:textId="77777777" w:rsidR="00987389" w:rsidRDefault="000B146C">
      <w:pPr>
        <w:keepNext/>
        <w:tabs>
          <w:tab w:val="right" w:pos="10800"/>
        </w:tabs>
        <w:spacing w:before="100" w:after="20"/>
      </w:pPr>
      <w:r>
        <w:rPr>
          <w:rFonts w:ascii="Calibri" w:eastAsia="Calibri" w:hAnsi="Calibri" w:cs="Calibri"/>
          <w:b/>
          <w:bCs/>
          <w:sz w:val="21"/>
          <w:szCs w:val="21"/>
        </w:rPr>
        <w:t>Project Manager</w:t>
      </w:r>
      <w:r>
        <w:rPr>
          <w:rFonts w:ascii="Calibri" w:eastAsia="Calibri" w:hAnsi="Calibri" w:cs="Calibri"/>
          <w:b/>
          <w:bCs/>
        </w:rPr>
        <w:tab/>
        <w:t>2006 – 2012</w:t>
      </w:r>
    </w:p>
    <w:p w14:paraId="17FB9285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Led EVgo’s $3M customer-operations launch program as the sole Project Manager, covering business architecture and requirements, CRM, customer authorization, billing, settlement, and the contact center; ran a bi-weekly steering group (VP; Operations, Technology, and Go-to-Market Directors) with RAID management.</w:t>
      </w:r>
    </w:p>
    <w:p w14:paraId="2930C844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Wrote all EVgo CRM requirements and brought in Citi as the settlement partner for electricity-provider reimbursements, working with Procurement and Legal on the contracts.</w:t>
      </w:r>
    </w:p>
    <w:p w14:paraId="4F7FAB46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Launched NRG’s first cross-sell beyond core electricity, writing all requirements and the billing foundation; its CRM base code structure is still in use today.</w:t>
      </w:r>
    </w:p>
    <w:p w14:paraId="6FDA7CB6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Led cross-functional PMO projects from requirements through delivery with Marketing, Technology, and Operations, spanning billing, home warranty, digital messaging, customer rewards, and retail electricity products.</w:t>
      </w:r>
    </w:p>
    <w:p w14:paraId="2BEF3B9E" w14:textId="77777777" w:rsidR="00987389" w:rsidRDefault="000B146C">
      <w:pPr>
        <w:keepNext/>
        <w:tabs>
          <w:tab w:val="right" w:pos="10800"/>
        </w:tabs>
        <w:spacing w:before="100" w:after="2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Earlier Career</w:t>
      </w:r>
    </w:p>
    <w:p w14:paraId="13CEECA6" w14:textId="77777777" w:rsidR="00987389" w:rsidRDefault="000B146C">
      <w:pPr>
        <w:keepNext/>
        <w:tabs>
          <w:tab w:val="right" w:pos="10800"/>
        </w:tabs>
        <w:spacing w:before="20" w:after="20"/>
      </w:pPr>
      <w:r>
        <w:rPr>
          <w:rFonts w:ascii="Calibri" w:eastAsia="Calibri" w:hAnsi="Calibri" w:cs="Calibri"/>
          <w:b/>
          <w:bCs/>
          <w:sz w:val="21"/>
          <w:szCs w:val="21"/>
        </w:rPr>
        <w:t>TeleCheck, First Data | Consumer Resolutions Manager; Manager II, Operations</w:t>
      </w:r>
    </w:p>
    <w:p w14:paraId="04596464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Led 45–50 agents through 3 supervisors resolving bankruptcy, forgery, and Office of the President cases under FCRA and FDCPA; accountable for service level, QA, and CSAT; partnered with Risk to identify fraud patterns.</w:t>
      </w:r>
    </w:p>
    <w:p w14:paraId="746CF9C3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Managed operations in a 200+ agent consumer and B2B merchant call center; rewrote quality standards, built workload forecasting models, and supported the start-up of a new Daytona, FL call center.</w:t>
      </w:r>
    </w:p>
    <w:p w14:paraId="13B698D7" w14:textId="77777777" w:rsidR="00987389" w:rsidRDefault="000B146C">
      <w:pPr>
        <w:keepNext/>
        <w:tabs>
          <w:tab w:val="right" w:pos="10800"/>
        </w:tabs>
        <w:spacing w:before="20" w:after="20"/>
      </w:pPr>
      <w:r>
        <w:rPr>
          <w:rFonts w:ascii="Calibri" w:eastAsia="Calibri" w:hAnsi="Calibri" w:cs="Calibri"/>
          <w:b/>
          <w:bCs/>
          <w:sz w:val="21"/>
          <w:szCs w:val="21"/>
        </w:rPr>
        <w:t>Citigroup Credit Services | Sr. Business Systems Analyst; Customer Sales &amp; Service Supervisor II</w:t>
      </w:r>
    </w:p>
    <w:p w14:paraId="5F123244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Analyzed 21M gas and oil card accounts to find cross-sell and cash-advance opportunities; led cash-advance functionality for 7M ConocoPhillips accounts and in-house billing for 500,000 Amoco accounts, compliant with EFTA/Reg E and TILA/Reg Z.</w:t>
      </w:r>
    </w:p>
    <w:p w14:paraId="581F4374" w14:textId="77777777" w:rsidR="00987389" w:rsidRDefault="000B146C">
      <w:pPr>
        <w:pStyle w:val="ListParagraph"/>
        <w:numPr>
          <w:ilvl w:val="0"/>
          <w:numId w:val="2"/>
        </w:numPr>
        <w:spacing w:after="30"/>
      </w:pPr>
      <w:r>
        <w:rPr>
          <w:rFonts w:ascii="Calibri" w:eastAsia="Calibri" w:hAnsi="Calibri" w:cs="Calibri"/>
        </w:rPr>
        <w:t>Supervised 15–20 agents in a 200+ agent call center (top sales, 98% QA), managing intraday staffing for volume spikes; served on the M&amp;A conversion team migrating the Shell oil card portfolio to Citigroup.</w:t>
      </w:r>
    </w:p>
    <w:p w14:paraId="4C8257C0" w14:textId="77777777" w:rsidR="00987389" w:rsidRDefault="000B146C">
      <w:pPr>
        <w:pBdr>
          <w:bottom w:val="single" w:sz="8" w:space="1" w:color="1F3864"/>
        </w:pBdr>
        <w:spacing w:before="160" w:after="6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EDUCATION, CERTIFICATIONS &amp; RECOGNITION</w:t>
      </w:r>
    </w:p>
    <w:p w14:paraId="3F6D37AB" w14:textId="77777777" w:rsidR="00987389" w:rsidRDefault="000B146C">
      <w:pPr>
        <w:spacing w:after="40"/>
      </w:pPr>
      <w:r>
        <w:rPr>
          <w:rFonts w:ascii="Calibri" w:eastAsia="Calibri" w:hAnsi="Calibri" w:cs="Calibri"/>
          <w:b/>
          <w:bCs/>
        </w:rPr>
        <w:t>Master of Business Administration</w:t>
      </w:r>
      <w:r>
        <w:rPr>
          <w:rFonts w:ascii="Calibri" w:eastAsia="Calibri" w:hAnsi="Calibri" w:cs="Calibri"/>
        </w:rPr>
        <w:t>, University of Houston-Victoria | MBA Capstone Project Award</w:t>
      </w:r>
    </w:p>
    <w:p w14:paraId="5BFD6992" w14:textId="77777777" w:rsidR="00987389" w:rsidRDefault="000B146C">
      <w:pPr>
        <w:spacing w:after="40"/>
      </w:pPr>
      <w:r>
        <w:rPr>
          <w:rFonts w:ascii="Calibri" w:eastAsia="Calibri" w:hAnsi="Calibri" w:cs="Calibri"/>
          <w:b/>
          <w:bCs/>
        </w:rPr>
        <w:t>B.S., Criminal Justice</w:t>
      </w:r>
      <w:r>
        <w:rPr>
          <w:rFonts w:ascii="Calibri" w:eastAsia="Calibri" w:hAnsi="Calibri" w:cs="Calibri"/>
        </w:rPr>
        <w:t>, Sam Houston State University | Cum Laude</w:t>
      </w:r>
    </w:p>
    <w:p w14:paraId="23C7E6B3" w14:textId="77777777" w:rsidR="00987389" w:rsidRDefault="000B146C">
      <w:pPr>
        <w:spacing w:after="40"/>
      </w:pPr>
      <w:r>
        <w:rPr>
          <w:rFonts w:ascii="Calibri" w:eastAsia="Calibri" w:hAnsi="Calibri" w:cs="Calibri"/>
          <w:b/>
          <w:bCs/>
        </w:rPr>
        <w:t xml:space="preserve">Certificates (University of Houston): </w:t>
      </w:r>
      <w:r>
        <w:rPr>
          <w:rFonts w:ascii="Calibri" w:eastAsia="Calibri" w:hAnsi="Calibri" w:cs="Calibri"/>
        </w:rPr>
        <w:t>Artificial Intelligence: Business Applications and Best Practices • Presentation Skills</w:t>
      </w:r>
    </w:p>
    <w:p w14:paraId="426B906F" w14:textId="77777777" w:rsidR="00987389" w:rsidRDefault="000B146C">
      <w:pPr>
        <w:spacing w:after="40"/>
      </w:pPr>
      <w:r>
        <w:rPr>
          <w:rFonts w:ascii="Calibri" w:eastAsia="Calibri" w:hAnsi="Calibri" w:cs="Calibri"/>
          <w:b/>
          <w:bCs/>
        </w:rPr>
        <w:t>Training (NRG):</w:t>
      </w:r>
      <w:r>
        <w:rPr>
          <w:rFonts w:ascii="Calibri" w:eastAsia="Calibri" w:hAnsi="Calibri" w:cs="Calibri"/>
        </w:rPr>
        <w:t xml:space="preserve"> Lean • Agile • Green Belt</w:t>
      </w:r>
    </w:p>
    <w:p w14:paraId="46EA20A4" w14:textId="77777777" w:rsidR="00987389" w:rsidRDefault="000B146C">
      <w:pPr>
        <w:spacing w:after="40"/>
      </w:pPr>
      <w:r>
        <w:rPr>
          <w:rFonts w:ascii="Calibri" w:eastAsia="Calibri" w:hAnsi="Calibri" w:cs="Calibri"/>
          <w:b/>
          <w:bCs/>
        </w:rPr>
        <w:lastRenderedPageBreak/>
        <w:t>Recognition:</w:t>
      </w:r>
      <w:r>
        <w:rPr>
          <w:rFonts w:ascii="Calibri" w:eastAsia="Calibri" w:hAnsi="Calibri" w:cs="Calibri"/>
        </w:rPr>
        <w:t xml:space="preserve"> NRG High Five Award (AI video production) • Citi Leader of the Pack Award • Citi Stars Cross-Sell Team Awards • Citi Manager of the Quarter (two-time)</w:t>
      </w:r>
    </w:p>
    <w:sectPr w:rsidR="00987389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216619"/>
    <w:multiLevelType w:val="hybridMultilevel"/>
    <w:tmpl w:val="3B8E48E0"/>
    <w:lvl w:ilvl="0" w:tplc="45343D4E">
      <w:start w:val="1"/>
      <w:numFmt w:val="bullet"/>
      <w:lvlText w:val="●"/>
      <w:lvlJc w:val="left"/>
      <w:pPr>
        <w:ind w:left="720" w:hanging="360"/>
      </w:pPr>
    </w:lvl>
    <w:lvl w:ilvl="1" w:tplc="5F5CE418">
      <w:start w:val="1"/>
      <w:numFmt w:val="bullet"/>
      <w:lvlText w:val="○"/>
      <w:lvlJc w:val="left"/>
      <w:pPr>
        <w:ind w:left="1440" w:hanging="360"/>
      </w:pPr>
    </w:lvl>
    <w:lvl w:ilvl="2" w:tplc="EE721474">
      <w:start w:val="1"/>
      <w:numFmt w:val="bullet"/>
      <w:lvlText w:val="■"/>
      <w:lvlJc w:val="left"/>
      <w:pPr>
        <w:ind w:left="2160" w:hanging="360"/>
      </w:pPr>
    </w:lvl>
    <w:lvl w:ilvl="3" w:tplc="F8102C6E">
      <w:start w:val="1"/>
      <w:numFmt w:val="bullet"/>
      <w:lvlText w:val="●"/>
      <w:lvlJc w:val="left"/>
      <w:pPr>
        <w:ind w:left="2880" w:hanging="360"/>
      </w:pPr>
    </w:lvl>
    <w:lvl w:ilvl="4" w:tplc="F1C00FFA">
      <w:start w:val="1"/>
      <w:numFmt w:val="bullet"/>
      <w:lvlText w:val="○"/>
      <w:lvlJc w:val="left"/>
      <w:pPr>
        <w:ind w:left="3600" w:hanging="360"/>
      </w:pPr>
    </w:lvl>
    <w:lvl w:ilvl="5" w:tplc="4A18D53C">
      <w:start w:val="1"/>
      <w:numFmt w:val="bullet"/>
      <w:lvlText w:val="■"/>
      <w:lvlJc w:val="left"/>
      <w:pPr>
        <w:ind w:left="4320" w:hanging="360"/>
      </w:pPr>
    </w:lvl>
    <w:lvl w:ilvl="6" w:tplc="FE105598">
      <w:start w:val="1"/>
      <w:numFmt w:val="bullet"/>
      <w:lvlText w:val="●"/>
      <w:lvlJc w:val="left"/>
      <w:pPr>
        <w:ind w:left="5040" w:hanging="360"/>
      </w:pPr>
    </w:lvl>
    <w:lvl w:ilvl="7" w:tplc="0F3CD2FE">
      <w:start w:val="1"/>
      <w:numFmt w:val="bullet"/>
      <w:lvlText w:val="●"/>
      <w:lvlJc w:val="left"/>
      <w:pPr>
        <w:ind w:left="5760" w:hanging="360"/>
      </w:pPr>
    </w:lvl>
    <w:lvl w:ilvl="8" w:tplc="E9AE719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F594716"/>
    <w:multiLevelType w:val="hybridMultilevel"/>
    <w:tmpl w:val="D624AA16"/>
    <w:lvl w:ilvl="0" w:tplc="AC96948A">
      <w:start w:val="1"/>
      <w:numFmt w:val="bullet"/>
      <w:lvlText w:val="•"/>
      <w:lvlJc w:val="left"/>
      <w:pPr>
        <w:ind w:left="300" w:hanging="220"/>
      </w:pPr>
    </w:lvl>
    <w:lvl w:ilvl="1" w:tplc="FBA2F834">
      <w:numFmt w:val="decimal"/>
      <w:lvlText w:val=""/>
      <w:lvlJc w:val="left"/>
    </w:lvl>
    <w:lvl w:ilvl="2" w:tplc="9760E1B6">
      <w:numFmt w:val="decimal"/>
      <w:lvlText w:val=""/>
      <w:lvlJc w:val="left"/>
    </w:lvl>
    <w:lvl w:ilvl="3" w:tplc="96AE21D8">
      <w:numFmt w:val="decimal"/>
      <w:lvlText w:val=""/>
      <w:lvlJc w:val="left"/>
    </w:lvl>
    <w:lvl w:ilvl="4" w:tplc="E77AD0B8">
      <w:numFmt w:val="decimal"/>
      <w:lvlText w:val=""/>
      <w:lvlJc w:val="left"/>
    </w:lvl>
    <w:lvl w:ilvl="5" w:tplc="C202676E">
      <w:numFmt w:val="decimal"/>
      <w:lvlText w:val=""/>
      <w:lvlJc w:val="left"/>
    </w:lvl>
    <w:lvl w:ilvl="6" w:tplc="58E22DA8">
      <w:numFmt w:val="decimal"/>
      <w:lvlText w:val=""/>
      <w:lvlJc w:val="left"/>
    </w:lvl>
    <w:lvl w:ilvl="7" w:tplc="DBE6A140">
      <w:numFmt w:val="decimal"/>
      <w:lvlText w:val=""/>
      <w:lvlJc w:val="left"/>
    </w:lvl>
    <w:lvl w:ilvl="8" w:tplc="80469BCA">
      <w:numFmt w:val="decimal"/>
      <w:lvlText w:val=""/>
      <w:lvlJc w:val="left"/>
    </w:lvl>
  </w:abstractNum>
  <w:num w:numId="1" w16cid:durableId="665480189">
    <w:abstractNumId w:val="0"/>
    <w:lvlOverride w:ilvl="0">
      <w:startOverride w:val="1"/>
    </w:lvlOverride>
  </w:num>
  <w:num w:numId="2" w16cid:durableId="196241659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389"/>
    <w:rsid w:val="000B146C"/>
    <w:rsid w:val="002F3091"/>
    <w:rsid w:val="004467AF"/>
    <w:rsid w:val="00505D31"/>
    <w:rsid w:val="007976E5"/>
    <w:rsid w:val="00802A27"/>
    <w:rsid w:val="008523A1"/>
    <w:rsid w:val="009052B8"/>
    <w:rsid w:val="00987389"/>
    <w:rsid w:val="00AD1C3E"/>
    <w:rsid w:val="00CC71D7"/>
    <w:rsid w:val="00D03DC6"/>
    <w:rsid w:val="00EE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B45A5"/>
  <w15:docId w15:val="{B08B4969-FF7C-483D-9025-DA89213B9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inkedin.com/in/bettykgilber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1441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Betty G</cp:lastModifiedBy>
  <cp:revision>8</cp:revision>
  <dcterms:created xsi:type="dcterms:W3CDTF">2026-10-12T10:36:00Z</dcterms:created>
  <dcterms:modified xsi:type="dcterms:W3CDTF">2026-10-16T17:38:00Z</dcterms:modified>
</cp:coreProperties>
</file>